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B82D" w14:textId="2012C1F7" w:rsidR="0077482A" w:rsidRPr="00792D1D" w:rsidRDefault="00BA0372" w:rsidP="0077482A">
      <w:pPr>
        <w:pStyle w:val="01TITULO1"/>
      </w:pPr>
      <w:bookmarkStart w:id="0" w:name="_Hlk515792518"/>
      <w:r w:rsidRPr="00792D1D">
        <w:t>Compo</w:t>
      </w:r>
      <w:r>
        <w:t>nente curricular: MATEMÁTICA</w:t>
      </w:r>
      <w:r w:rsidR="0077482A">
        <w:t xml:space="preserve"> </w:t>
      </w:r>
    </w:p>
    <w:p w14:paraId="09FD6BFF" w14:textId="7014DD1D" w:rsidR="0077482A" w:rsidRDefault="0077482A" w:rsidP="0077482A">
      <w:pPr>
        <w:pStyle w:val="01TITULO1"/>
      </w:pPr>
      <w:r w:rsidRPr="00792D1D">
        <w:t>PLANO</w:t>
      </w:r>
      <w:r w:rsidR="0036456F">
        <w:t>S</w:t>
      </w:r>
      <w:r w:rsidRPr="00792D1D">
        <w:t xml:space="preserve"> DE DESENVOLVIMENTO</w:t>
      </w:r>
      <w:r w:rsidR="00BA0372">
        <w:t xml:space="preserve"> BIMESTRA</w:t>
      </w:r>
      <w:r w:rsidR="0036456F">
        <w:t>IS</w:t>
      </w:r>
    </w:p>
    <w:p w14:paraId="7D436719" w14:textId="77777777" w:rsidR="0077482A" w:rsidRDefault="0077482A" w:rsidP="0077482A">
      <w:pPr>
        <w:pStyle w:val="02TEXTOPRINCIPAL"/>
      </w:pPr>
    </w:p>
    <w:p w14:paraId="55834543" w14:textId="7325E637" w:rsidR="00744E93" w:rsidRDefault="00744E93" w:rsidP="00744E93">
      <w:pPr>
        <w:pStyle w:val="02TEXTOPRINCIPAL"/>
        <w:ind w:firstLine="708"/>
      </w:pPr>
      <w:r>
        <w:t xml:space="preserve">Os </w:t>
      </w:r>
      <w:r>
        <w:rPr>
          <w:rStyle w:val="TextoBold"/>
          <w:sz w:val="22"/>
        </w:rPr>
        <w:t xml:space="preserve">Planos de desenvolvimento bimestrais </w:t>
      </w:r>
      <w:r>
        <w:t xml:space="preserve">consistem em sugestões para o desenvolvimento do trabalho com o componente curricular. Na elaboração desta proposta foram selecionadas, na </w:t>
      </w:r>
      <w:r>
        <w:rPr>
          <w:rStyle w:val="TextoBold"/>
          <w:sz w:val="22"/>
        </w:rPr>
        <w:t xml:space="preserve">Base Nacional Comum Curricular </w:t>
      </w:r>
      <w:r w:rsidR="00F72573">
        <w:rPr>
          <w:rStyle w:val="TextoBold"/>
          <w:sz w:val="22"/>
        </w:rPr>
        <w:t>‒</w:t>
      </w:r>
      <w:r>
        <w:rPr>
          <w:rStyle w:val="TextoBold"/>
          <w:sz w:val="22"/>
        </w:rPr>
        <w:t xml:space="preserve"> BNCC</w:t>
      </w:r>
      <w:r>
        <w:t>,</w:t>
      </w:r>
      <w:r>
        <w:rPr>
          <w:b/>
        </w:rPr>
        <w:t xml:space="preserve"> </w:t>
      </w:r>
      <w:r>
        <w:t>as</w:t>
      </w:r>
      <w:r>
        <w:rPr>
          <w:b/>
        </w:rPr>
        <w:t xml:space="preserve"> </w:t>
      </w:r>
      <w:r>
        <w:rPr>
          <w:rStyle w:val="TextoBold"/>
          <w:sz w:val="22"/>
        </w:rPr>
        <w:t>Unidades Temáticas</w:t>
      </w:r>
      <w:r>
        <w:t>,</w:t>
      </w:r>
      <w:r>
        <w:rPr>
          <w:b/>
        </w:rPr>
        <w:t xml:space="preserve"> </w:t>
      </w:r>
      <w:r>
        <w:t>com</w:t>
      </w:r>
      <w:r>
        <w:rPr>
          <w:b/>
        </w:rPr>
        <w:t xml:space="preserve"> </w:t>
      </w:r>
      <w:r>
        <w:t>os respectivos</w:t>
      </w:r>
      <w:r>
        <w:rPr>
          <w:b/>
        </w:rPr>
        <w:t xml:space="preserve"> </w:t>
      </w:r>
      <w:r>
        <w:rPr>
          <w:rStyle w:val="TextoBold"/>
          <w:sz w:val="22"/>
        </w:rPr>
        <w:t xml:space="preserve">objetos de conhecimento </w:t>
      </w:r>
      <w:r>
        <w:t xml:space="preserve">e </w:t>
      </w:r>
      <w:r>
        <w:rPr>
          <w:rStyle w:val="TextoBold"/>
          <w:sz w:val="22"/>
        </w:rPr>
        <w:t>habilidades</w:t>
      </w:r>
      <w:r>
        <w:t xml:space="preserve"> considerados significativos, ou estruturantes, para a aprendizagem dos estudantes no período letivo e para a continuidade nos estudos. </w:t>
      </w:r>
    </w:p>
    <w:p w14:paraId="5A5BDAA1" w14:textId="77777777" w:rsidR="005C4351" w:rsidRDefault="005C4351" w:rsidP="005C4351">
      <w:pPr>
        <w:pStyle w:val="02TEXTOPRINCIPAL"/>
      </w:pPr>
    </w:p>
    <w:p w14:paraId="0F4B3F99" w14:textId="0014D062" w:rsidR="00A16C0B" w:rsidRDefault="00C50A5D" w:rsidP="00C50A5D">
      <w:pPr>
        <w:pStyle w:val="01TITULO1"/>
      </w:pPr>
      <w:r>
        <w:t>7</w:t>
      </w:r>
      <w:r w:rsidRPr="00792D1D">
        <w:t>º ano</w:t>
      </w:r>
      <w:r>
        <w:t xml:space="preserve"> –</w:t>
      </w:r>
      <w:r w:rsidR="00E401D0">
        <w:t xml:space="preserve"> </w:t>
      </w:r>
      <w:r>
        <w:t>Bimestre 1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19"/>
        <w:gridCol w:w="2267"/>
        <w:gridCol w:w="2267"/>
        <w:gridCol w:w="3402"/>
      </w:tblGrid>
      <w:tr w:rsidR="00020AF2" w:rsidRPr="00BB7CAD" w14:paraId="256164AA" w14:textId="77777777" w:rsidTr="008D5424">
        <w:trPr>
          <w:trHeight w:val="920"/>
        </w:trPr>
        <w:tc>
          <w:tcPr>
            <w:tcW w:w="1205" w:type="pct"/>
          </w:tcPr>
          <w:p w14:paraId="3438F121" w14:textId="413B7496" w:rsidR="003E2357" w:rsidRPr="00161DBD" w:rsidRDefault="003E2357" w:rsidP="003E2357">
            <w:pPr>
              <w:pStyle w:val="03TITULOTABELAS1"/>
              <w:rPr>
                <w:rFonts w:cstheme="minorHAnsi"/>
                <w:bCs/>
                <w:sz w:val="20"/>
                <w:szCs w:val="20"/>
              </w:rPr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1084" w:type="pct"/>
          </w:tcPr>
          <w:p w14:paraId="07874BDE" w14:textId="20F475F0" w:rsidR="003E2357" w:rsidRPr="00161DBD" w:rsidRDefault="003E2357" w:rsidP="003E2357">
            <w:pPr>
              <w:pStyle w:val="03TITULOTABELAS1"/>
              <w:rPr>
                <w:rFonts w:cstheme="minorHAnsi"/>
                <w:bCs/>
                <w:sz w:val="20"/>
              </w:rPr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1084" w:type="pct"/>
          </w:tcPr>
          <w:p w14:paraId="6C76450F" w14:textId="5D5D2AB0" w:rsidR="003E2357" w:rsidRDefault="003E2357" w:rsidP="003E2357">
            <w:pPr>
              <w:pStyle w:val="03TITULOTABELAS1"/>
              <w:rPr>
                <w:rFonts w:ascii="Gotham-Book" w:hAnsi="Gotham-Book" w:cs="Gotham-Book"/>
                <w:color w:val="414142"/>
                <w:sz w:val="20"/>
                <w:szCs w:val="20"/>
              </w:rPr>
            </w:pPr>
            <w:r w:rsidRPr="00237A06">
              <w:t>Objetos de conhecimento da BNCC</w:t>
            </w:r>
          </w:p>
        </w:tc>
        <w:tc>
          <w:tcPr>
            <w:tcW w:w="1627" w:type="pct"/>
          </w:tcPr>
          <w:p w14:paraId="1044403F" w14:textId="5A3B8C1C" w:rsidR="003E2357" w:rsidRPr="0039272A" w:rsidRDefault="003E2357" w:rsidP="0039272A">
            <w:pPr>
              <w:pStyle w:val="03TITULOTABELAS1"/>
            </w:pPr>
            <w:r w:rsidRPr="00237A06">
              <w:t>Habilidades da BNCC</w:t>
            </w:r>
          </w:p>
        </w:tc>
      </w:tr>
      <w:tr w:rsidR="00020AF2" w:rsidRPr="00BB7CAD" w14:paraId="44F5E433" w14:textId="77777777" w:rsidTr="008D5424">
        <w:trPr>
          <w:trHeight w:val="1231"/>
        </w:trPr>
        <w:tc>
          <w:tcPr>
            <w:tcW w:w="1205" w:type="pct"/>
            <w:vMerge w:val="restart"/>
          </w:tcPr>
          <w:p w14:paraId="504B541C" w14:textId="05D47B00" w:rsidR="003E2357" w:rsidRPr="00BC75D7" w:rsidRDefault="003E2357" w:rsidP="003E2357">
            <w:pPr>
              <w:pStyle w:val="04TEXTOTABELAS"/>
              <w:rPr>
                <w:rStyle w:val="TextoBold"/>
              </w:rPr>
            </w:pPr>
            <w:r w:rsidRPr="00BC75D7">
              <w:rPr>
                <w:rStyle w:val="TextoBold"/>
              </w:rPr>
              <w:t>Capítulo 1</w:t>
            </w:r>
            <w:r w:rsidR="00A7191B">
              <w:rPr>
                <w:rStyle w:val="TextoBold"/>
              </w:rPr>
              <w:t xml:space="preserve"> </w:t>
            </w:r>
            <w:r w:rsidR="00A7191B">
              <w:rPr>
                <w:rStyle w:val="TextoBold"/>
                <w:szCs w:val="20"/>
              </w:rPr>
              <w:t xml:space="preserve">– </w:t>
            </w:r>
            <w:r w:rsidRPr="00BC75D7">
              <w:rPr>
                <w:rStyle w:val="TextoBold"/>
              </w:rPr>
              <w:t>Números inteiros</w:t>
            </w:r>
          </w:p>
          <w:p w14:paraId="74E69015" w14:textId="581527DD" w:rsidR="003E2357" w:rsidRDefault="003E2357" w:rsidP="003E2357">
            <w:pPr>
              <w:pStyle w:val="04TEXTOTABELAS"/>
            </w:pPr>
            <w:r>
              <w:t>1. A necessidade de outros números</w:t>
            </w:r>
          </w:p>
          <w:p w14:paraId="46B14032" w14:textId="30CDF14C" w:rsidR="003E2357" w:rsidRDefault="003E2357" w:rsidP="003E2357">
            <w:pPr>
              <w:pStyle w:val="04TEXTOTABELAS"/>
            </w:pPr>
            <w:r>
              <w:t>2. Representação na reta numérica e módulo</w:t>
            </w:r>
          </w:p>
          <w:p w14:paraId="18F893BC" w14:textId="49671C5A" w:rsidR="003E2357" w:rsidRDefault="003E2357" w:rsidP="003E2357">
            <w:pPr>
              <w:pStyle w:val="04TEXTOTABELAS"/>
            </w:pPr>
            <w:r>
              <w:t>3. Números inteiros opostos ou simétricos</w:t>
            </w:r>
          </w:p>
          <w:p w14:paraId="13485769" w14:textId="0A254628" w:rsidR="003E2357" w:rsidRDefault="003E2357" w:rsidP="003E2357">
            <w:pPr>
              <w:pStyle w:val="04TEXTOTABELAS"/>
            </w:pPr>
            <w:r>
              <w:t xml:space="preserve">4. Comparação </w:t>
            </w:r>
            <w:r w:rsidR="00A7191B">
              <w:t>entre</w:t>
            </w:r>
            <w:r>
              <w:t xml:space="preserve"> números inteiros</w:t>
            </w:r>
          </w:p>
          <w:p w14:paraId="594E0EE4" w14:textId="530132F7" w:rsidR="003E2357" w:rsidRDefault="003E2357" w:rsidP="003E2357">
            <w:pPr>
              <w:pStyle w:val="04TEXTOTABELAS"/>
            </w:pPr>
            <w:r>
              <w:t xml:space="preserve">5. Adição </w:t>
            </w:r>
          </w:p>
          <w:p w14:paraId="229E2010" w14:textId="700CFDAD" w:rsidR="003E2357" w:rsidRPr="00B91285" w:rsidRDefault="003E2357" w:rsidP="003E2357">
            <w:pPr>
              <w:pStyle w:val="04TEXTOTABELAS"/>
            </w:pPr>
            <w:r>
              <w:t xml:space="preserve">6. Subtração </w:t>
            </w:r>
          </w:p>
          <w:p w14:paraId="2740DA7C" w14:textId="3D6CCEC8" w:rsidR="003E2357" w:rsidRDefault="003E2357" w:rsidP="003E2357">
            <w:pPr>
              <w:pStyle w:val="04TEXTOTABELAS"/>
            </w:pPr>
            <w:r>
              <w:t xml:space="preserve">7. Adição algébrica </w:t>
            </w:r>
          </w:p>
          <w:p w14:paraId="7E0A8443" w14:textId="1245AF18" w:rsidR="003E2357" w:rsidRDefault="003E2357" w:rsidP="003E2357">
            <w:pPr>
              <w:pStyle w:val="04TEXTOTABELAS"/>
            </w:pPr>
            <w:r>
              <w:t xml:space="preserve">8. Multiplicação </w:t>
            </w:r>
          </w:p>
          <w:p w14:paraId="7480E789" w14:textId="165AD66E" w:rsidR="003E2357" w:rsidRDefault="003E2357" w:rsidP="003E2357">
            <w:pPr>
              <w:pStyle w:val="04TEXTOTABELAS"/>
            </w:pPr>
            <w:r>
              <w:t xml:space="preserve">9. Divisão </w:t>
            </w:r>
          </w:p>
          <w:p w14:paraId="103F73E0" w14:textId="6C09D4D4" w:rsidR="003E2357" w:rsidRDefault="003E2357" w:rsidP="003E2357">
            <w:pPr>
              <w:pStyle w:val="04TEXTOTABELAS"/>
            </w:pPr>
            <w:r>
              <w:t>10. Expressões numéricas</w:t>
            </w:r>
          </w:p>
          <w:p w14:paraId="6D4D0AA6" w14:textId="35E101F8" w:rsidR="003E2357" w:rsidRDefault="003E2357" w:rsidP="003E2357">
            <w:pPr>
              <w:pStyle w:val="04TEXTOTABELAS"/>
            </w:pPr>
            <w:r>
              <w:t xml:space="preserve">11. Potenciação </w:t>
            </w:r>
          </w:p>
          <w:p w14:paraId="3F9E7DF0" w14:textId="14154FED" w:rsidR="003E2357" w:rsidRPr="00CF1A66" w:rsidRDefault="003E2357" w:rsidP="003E2357">
            <w:pPr>
              <w:pStyle w:val="04TEXTOTABELAS"/>
            </w:pPr>
            <w:r>
              <w:t xml:space="preserve">12. Raiz quadrada </w:t>
            </w:r>
          </w:p>
          <w:p w14:paraId="3D90F1A9" w14:textId="08CAFD79" w:rsidR="00020AF2" w:rsidRPr="00E01D42" w:rsidRDefault="003E2357" w:rsidP="00020AF2">
            <w:pPr>
              <w:pStyle w:val="04TEXTOTABELAS"/>
            </w:pPr>
            <w:r w:rsidRPr="00CF1A66">
              <w:t>• Analisando tabelas</w:t>
            </w:r>
            <w:r w:rsidR="00A7191B">
              <w:t xml:space="preserve"> (seção Trabalhando a informação)</w:t>
            </w:r>
          </w:p>
        </w:tc>
        <w:tc>
          <w:tcPr>
            <w:tcW w:w="1084" w:type="pct"/>
            <w:vMerge w:val="restart"/>
          </w:tcPr>
          <w:p w14:paraId="209B58EF" w14:textId="110E88AF" w:rsidR="003E2357" w:rsidRPr="00BC75D7" w:rsidRDefault="003E2357" w:rsidP="00474B3B">
            <w:pPr>
              <w:pStyle w:val="04TEXTOTABELAS"/>
              <w:rPr>
                <w:rStyle w:val="TextoBold"/>
              </w:rPr>
            </w:pPr>
            <w:r w:rsidRPr="00BC75D7">
              <w:rPr>
                <w:rStyle w:val="TextoBold"/>
              </w:rPr>
              <w:t>Números</w:t>
            </w:r>
          </w:p>
        </w:tc>
        <w:tc>
          <w:tcPr>
            <w:tcW w:w="1084" w:type="pct"/>
            <w:vMerge w:val="restart"/>
          </w:tcPr>
          <w:p w14:paraId="4D02640B" w14:textId="41502216" w:rsidR="003E2357" w:rsidRPr="00BB7CAD" w:rsidRDefault="003E2357" w:rsidP="00346559">
            <w:pPr>
              <w:pStyle w:val="04TEXTOTABELAS"/>
            </w:pPr>
            <w:r>
              <w:t>Números inteiros: usos, história, ordenação,</w:t>
            </w:r>
            <w:r w:rsidR="00346559">
              <w:t xml:space="preserve"> </w:t>
            </w:r>
            <w:r>
              <w:t>associação com pontos da reta numérica e</w:t>
            </w:r>
            <w:r w:rsidR="00346559">
              <w:t xml:space="preserve"> </w:t>
            </w:r>
            <w:r>
              <w:t>operações</w:t>
            </w:r>
          </w:p>
        </w:tc>
        <w:tc>
          <w:tcPr>
            <w:tcW w:w="1627" w:type="pct"/>
          </w:tcPr>
          <w:p w14:paraId="6FC4D5DB" w14:textId="77777777" w:rsidR="003E2357" w:rsidRDefault="003E2357" w:rsidP="003547B5">
            <w:pPr>
              <w:pStyle w:val="04TEXTOTABELAS"/>
            </w:pPr>
            <w:r w:rsidRPr="003E2357">
              <w:rPr>
                <w:rStyle w:val="TextoBold"/>
              </w:rPr>
              <w:t>(EF07MA03)</w:t>
            </w:r>
            <w:r w:rsidRPr="005C78F7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Comparar e ordenar números inteiros em diferentes contextos, incluindo o histórico, associá-los a pontos da reta numérica e utilizá-los em situações que envolvam adição e subtração.</w:t>
            </w:r>
          </w:p>
          <w:p w14:paraId="43DB0905" w14:textId="77777777" w:rsidR="003E2357" w:rsidRPr="00F23B6E" w:rsidRDefault="003E2357" w:rsidP="003E2357">
            <w:pPr>
              <w:pStyle w:val="04TEXTOTABELAS"/>
            </w:pPr>
          </w:p>
        </w:tc>
      </w:tr>
      <w:tr w:rsidR="00020AF2" w:rsidRPr="00BB7CAD" w14:paraId="2B20E7E4" w14:textId="77777777" w:rsidTr="008D5424">
        <w:trPr>
          <w:trHeight w:val="1795"/>
        </w:trPr>
        <w:tc>
          <w:tcPr>
            <w:tcW w:w="1205" w:type="pct"/>
            <w:vMerge/>
          </w:tcPr>
          <w:p w14:paraId="28405B22" w14:textId="77777777" w:rsidR="003E2357" w:rsidRPr="00161DBD" w:rsidRDefault="003E2357" w:rsidP="003E235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47F502B0" w14:textId="77777777" w:rsidR="003E2357" w:rsidRPr="00161DBD" w:rsidRDefault="003E2357" w:rsidP="003E235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84" w:type="pct"/>
            <w:vMerge/>
          </w:tcPr>
          <w:p w14:paraId="1D7503E3" w14:textId="77777777" w:rsidR="003E2357" w:rsidRDefault="003E2357" w:rsidP="003E2357">
            <w:pPr>
              <w:pStyle w:val="04TEXTOTABELAS"/>
            </w:pPr>
          </w:p>
        </w:tc>
        <w:tc>
          <w:tcPr>
            <w:tcW w:w="1627" w:type="pct"/>
          </w:tcPr>
          <w:p w14:paraId="0BCBF920" w14:textId="1447D317" w:rsidR="003E2357" w:rsidRPr="00685423" w:rsidRDefault="003E2357" w:rsidP="00685423">
            <w:pPr>
              <w:pStyle w:val="04TEXTOTABELAS"/>
            </w:pPr>
            <w:r w:rsidRPr="003E2357">
              <w:rPr>
                <w:rStyle w:val="TextoBold"/>
              </w:rPr>
              <w:t>(EF07MA04)</w:t>
            </w:r>
            <w:r w:rsidRPr="005C78F7">
              <w:rPr>
                <w:rFonts w:ascii="Gotham-Medium" w:hAnsi="Gotham-Medium" w:cs="Gotham-Medium"/>
                <w:b/>
                <w:color w:val="C00000"/>
              </w:rPr>
              <w:t xml:space="preserve"> </w:t>
            </w:r>
            <w:r>
              <w:t>Resolver e elaborar problemas que envolvam operações com números inteiros.</w:t>
            </w:r>
          </w:p>
        </w:tc>
      </w:tr>
    </w:tbl>
    <w:p w14:paraId="1597498A" w14:textId="77777777" w:rsidR="00D656EE" w:rsidRDefault="00D656EE" w:rsidP="00D656EE">
      <w:pPr>
        <w:pStyle w:val="06CREDITO"/>
        <w:jc w:val="right"/>
      </w:pPr>
      <w:bookmarkStart w:id="1" w:name="_Hlk523475703"/>
      <w:r>
        <w:t>(continua)</w:t>
      </w:r>
    </w:p>
    <w:p w14:paraId="51DF845A" w14:textId="77777777" w:rsidR="00D656EE" w:rsidRDefault="00474B3B" w:rsidP="00D656EE">
      <w:pPr>
        <w:pStyle w:val="06CREDITO"/>
      </w:pPr>
      <w:r>
        <w:br w:type="page"/>
      </w:r>
      <w:r w:rsidR="00D656EE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6"/>
        <w:gridCol w:w="2268"/>
        <w:gridCol w:w="2268"/>
        <w:gridCol w:w="3368"/>
      </w:tblGrid>
      <w:tr w:rsidR="00E01D42" w:rsidRPr="00F23B6E" w14:paraId="319ACCCA" w14:textId="77777777" w:rsidTr="00A7191B">
        <w:trPr>
          <w:trHeight w:val="2025"/>
        </w:trPr>
        <w:tc>
          <w:tcPr>
            <w:tcW w:w="1207" w:type="pct"/>
            <w:vMerge w:val="restart"/>
          </w:tcPr>
          <w:p w14:paraId="62F501B4" w14:textId="38BD5467" w:rsidR="00E01D42" w:rsidRPr="00BC75D7" w:rsidRDefault="00E01D42" w:rsidP="00020AF2">
            <w:pPr>
              <w:pStyle w:val="04TEXTOTABELAS"/>
              <w:rPr>
                <w:rStyle w:val="TextoBold"/>
              </w:rPr>
            </w:pPr>
            <w:r w:rsidRPr="00BC75D7">
              <w:rPr>
                <w:rStyle w:val="TextoBold"/>
              </w:rPr>
              <w:t>Capítulo 2 – Números racionais</w:t>
            </w:r>
          </w:p>
          <w:p w14:paraId="6C4F3925" w14:textId="77777777" w:rsidR="00E01D42" w:rsidRDefault="00E01D42" w:rsidP="00020AF2">
            <w:pPr>
              <w:pStyle w:val="04TEXTOTABELAS"/>
            </w:pPr>
            <w:r>
              <w:t xml:space="preserve">1. Conhecendo </w:t>
            </w:r>
            <w:r>
              <w:rPr>
                <w:rFonts w:cs="Scene Std"/>
                <w:color w:val="221E1F"/>
              </w:rPr>
              <w:t>um pouco mais os números racionais</w:t>
            </w:r>
          </w:p>
          <w:p w14:paraId="365029B7" w14:textId="77777777" w:rsidR="00E01D42" w:rsidRDefault="00E01D42" w:rsidP="00020AF2">
            <w:pPr>
              <w:pStyle w:val="04TEXTOTABELAS"/>
            </w:pPr>
            <w:r>
              <w:t>2. Representação na reta numérica</w:t>
            </w:r>
          </w:p>
          <w:p w14:paraId="3C5D3343" w14:textId="6B47A3B9" w:rsidR="00E01D42" w:rsidRDefault="00E01D42" w:rsidP="00020AF2">
            <w:pPr>
              <w:pStyle w:val="04TEXTOTABELAS"/>
            </w:pPr>
            <w:r>
              <w:t xml:space="preserve">3. </w:t>
            </w:r>
            <w:r w:rsidRPr="003E2357">
              <w:t>Módulo de um número racional</w:t>
            </w:r>
          </w:p>
          <w:p w14:paraId="70C63A3B" w14:textId="77777777" w:rsidR="00E01D42" w:rsidRPr="003E2357" w:rsidRDefault="00E01D42" w:rsidP="00020AF2">
            <w:pPr>
              <w:pStyle w:val="04TEXTOTABELAS"/>
            </w:pPr>
            <w:r>
              <w:t xml:space="preserve">4. </w:t>
            </w:r>
            <w:r w:rsidRPr="003E2357">
              <w:t xml:space="preserve">Comparação de números racionais </w:t>
            </w:r>
          </w:p>
          <w:p w14:paraId="7FB4E13E" w14:textId="77777777" w:rsidR="00E01D42" w:rsidRPr="003E2357" w:rsidRDefault="00E01D42" w:rsidP="00020AF2">
            <w:pPr>
              <w:pStyle w:val="04TEXTOTABELAS"/>
            </w:pPr>
            <w:r>
              <w:t xml:space="preserve">5. </w:t>
            </w:r>
            <w:r w:rsidRPr="003E2357">
              <w:t>O máximo divisor comum (</w:t>
            </w:r>
            <w:proofErr w:type="spellStart"/>
            <w:r w:rsidRPr="003E2357">
              <w:t>mdc</w:t>
            </w:r>
            <w:proofErr w:type="spellEnd"/>
            <w:r w:rsidRPr="003E2357">
              <w:t>)</w:t>
            </w:r>
          </w:p>
          <w:p w14:paraId="5931F272" w14:textId="77777777" w:rsidR="00E01D42" w:rsidRPr="003E2357" w:rsidRDefault="00E01D42" w:rsidP="00020AF2">
            <w:pPr>
              <w:pStyle w:val="04TEXTOTABELAS"/>
            </w:pPr>
            <w:r>
              <w:t xml:space="preserve">6. </w:t>
            </w:r>
            <w:r w:rsidRPr="003E2357">
              <w:t>O mínimo múltiplo comum (</w:t>
            </w:r>
            <w:proofErr w:type="spellStart"/>
            <w:r w:rsidRPr="003E2357">
              <w:t>mmc</w:t>
            </w:r>
            <w:proofErr w:type="spellEnd"/>
            <w:r w:rsidRPr="003E2357">
              <w:t>)</w:t>
            </w:r>
          </w:p>
          <w:p w14:paraId="2C88FE3F" w14:textId="02C30FC5" w:rsidR="00E01D42" w:rsidRPr="003E2357" w:rsidRDefault="00383638" w:rsidP="00020AF2">
            <w:pPr>
              <w:pStyle w:val="04TEXTOTABELAS"/>
            </w:pPr>
            <w:r>
              <w:t>• Gráfico de coluna</w:t>
            </w:r>
            <w:r w:rsidR="00E01D42" w:rsidRPr="003E2357">
              <w:t xml:space="preserve"> com variação</w:t>
            </w:r>
            <w:r w:rsidR="00E01D42">
              <w:t xml:space="preserve"> percentual (seção Trabalhando a </w:t>
            </w:r>
            <w:r w:rsidR="00E01D42" w:rsidRPr="003E2357">
              <w:t>informação)</w:t>
            </w:r>
          </w:p>
          <w:p w14:paraId="1C0C7627" w14:textId="77777777" w:rsidR="00E01D42" w:rsidRPr="0060614D" w:rsidRDefault="00E01D42" w:rsidP="00020AF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</w:tcPr>
          <w:p w14:paraId="4FCDFFC5" w14:textId="4A760825" w:rsidR="00E01D42" w:rsidRPr="00474B3B" w:rsidRDefault="00474B3B" w:rsidP="00474B3B">
            <w:pPr>
              <w:pStyle w:val="04TEXTOTABELAS"/>
              <w:rPr>
                <w:rStyle w:val="TextoBold"/>
              </w:rPr>
            </w:pPr>
            <w:r w:rsidRPr="00474B3B">
              <w:rPr>
                <w:rStyle w:val="TextoBold"/>
              </w:rPr>
              <w:t>Números</w:t>
            </w:r>
          </w:p>
          <w:p w14:paraId="75CF2093" w14:textId="6A3A0B3C" w:rsidR="00E01D42" w:rsidRPr="00BB7CAD" w:rsidRDefault="00E01D42" w:rsidP="00020AF2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  <w:vMerge w:val="restart"/>
          </w:tcPr>
          <w:p w14:paraId="723F0D0A" w14:textId="5A3B1281" w:rsidR="00E01D42" w:rsidRPr="00BB7CAD" w:rsidRDefault="00483287" w:rsidP="00D54FA2">
            <w:pPr>
              <w:pStyle w:val="04TEXTOTABELAS"/>
            </w:pPr>
            <w:r>
              <w:t>Números racionais na representação fracionária e na decimal: usos, ordenação e associação com pontos da reta numérica e operações</w:t>
            </w:r>
          </w:p>
        </w:tc>
        <w:tc>
          <w:tcPr>
            <w:tcW w:w="1616" w:type="pct"/>
          </w:tcPr>
          <w:p w14:paraId="0620C10D" w14:textId="0DA330A3" w:rsidR="00E01D42" w:rsidRPr="00E01D42" w:rsidRDefault="00E01D42" w:rsidP="00685423">
            <w:pPr>
              <w:autoSpaceDE w:val="0"/>
              <w:adjustRightInd w:val="0"/>
            </w:pPr>
            <w:r w:rsidRPr="003E2357">
              <w:rPr>
                <w:rStyle w:val="TextoBold"/>
              </w:rPr>
              <w:t>(EF07MA</w:t>
            </w:r>
            <w:r w:rsidR="00685423">
              <w:rPr>
                <w:rStyle w:val="TextoBold"/>
              </w:rPr>
              <w:t>10</w:t>
            </w:r>
            <w:r w:rsidRPr="003E2357">
              <w:rPr>
                <w:rStyle w:val="TextoBold"/>
              </w:rPr>
              <w:t>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 xml:space="preserve">Comparar e ordenar números racionais em diferentes contextos e </w:t>
            </w:r>
            <w:proofErr w:type="spellStart"/>
            <w:r>
              <w:t>associá</w:t>
            </w:r>
            <w:proofErr w:type="spellEnd"/>
            <w:r>
              <w:t>-</w:t>
            </w:r>
            <w:r w:rsidR="00E857C4">
              <w:br/>
              <w:t>-</w:t>
            </w:r>
            <w:bookmarkStart w:id="2" w:name="_GoBack"/>
            <w:bookmarkEnd w:id="2"/>
            <w:r>
              <w:t>los a pontos da reta numérica.</w:t>
            </w:r>
          </w:p>
        </w:tc>
      </w:tr>
      <w:tr w:rsidR="00E01D42" w:rsidRPr="00F23B6E" w14:paraId="3207E83E" w14:textId="77777777" w:rsidTr="00A7191B">
        <w:trPr>
          <w:trHeight w:val="2025"/>
        </w:trPr>
        <w:tc>
          <w:tcPr>
            <w:tcW w:w="1207" w:type="pct"/>
            <w:vMerge/>
          </w:tcPr>
          <w:p w14:paraId="6B461E01" w14:textId="77777777" w:rsidR="00E01D42" w:rsidRDefault="00E01D42" w:rsidP="00020AF2">
            <w:pPr>
              <w:pStyle w:val="04TEXTOTABELAS"/>
              <w:rPr>
                <w:b/>
              </w:rPr>
            </w:pPr>
          </w:p>
        </w:tc>
        <w:tc>
          <w:tcPr>
            <w:tcW w:w="1088" w:type="pct"/>
            <w:vMerge/>
          </w:tcPr>
          <w:p w14:paraId="7BF9F5B6" w14:textId="77777777" w:rsidR="00E01D42" w:rsidRDefault="00E01D42" w:rsidP="00020AF2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14:paraId="3F542FF1" w14:textId="77777777" w:rsidR="00E01D42" w:rsidRDefault="00E01D42" w:rsidP="00020AF2">
            <w:pPr>
              <w:pStyle w:val="04TEXTOTABELAS"/>
            </w:pPr>
          </w:p>
        </w:tc>
        <w:tc>
          <w:tcPr>
            <w:tcW w:w="1616" w:type="pct"/>
          </w:tcPr>
          <w:p w14:paraId="43973B67" w14:textId="77777777" w:rsidR="00E01D42" w:rsidRDefault="00E01D42" w:rsidP="00E01D42">
            <w:pPr>
              <w:pStyle w:val="04TEXTOTABELAS"/>
            </w:pPr>
            <w:r w:rsidRPr="003E2357">
              <w:rPr>
                <w:rStyle w:val="TextoBold"/>
              </w:rPr>
              <w:t>(EF07MA11)</w:t>
            </w:r>
            <w:r w:rsidRPr="00E61724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Compreender e utilizar a multiplicação e a divisão de números racionais, a relação entre elas e suas propriedades operatórias.</w:t>
            </w:r>
          </w:p>
          <w:p w14:paraId="1BC00EE3" w14:textId="77777777" w:rsidR="00E01D42" w:rsidRPr="003E2357" w:rsidRDefault="00E01D42" w:rsidP="00020AF2">
            <w:pPr>
              <w:autoSpaceDE w:val="0"/>
              <w:adjustRightInd w:val="0"/>
              <w:rPr>
                <w:rStyle w:val="TextoBold"/>
              </w:rPr>
            </w:pPr>
          </w:p>
        </w:tc>
      </w:tr>
      <w:tr w:rsidR="00E01D42" w:rsidRPr="00F23B6E" w14:paraId="6F8CC1CC" w14:textId="77777777" w:rsidTr="00A7191B">
        <w:trPr>
          <w:trHeight w:val="2145"/>
        </w:trPr>
        <w:tc>
          <w:tcPr>
            <w:tcW w:w="1207" w:type="pct"/>
          </w:tcPr>
          <w:p w14:paraId="5ED88502" w14:textId="77777777" w:rsidR="00E01D42" w:rsidRPr="00BC75D7" w:rsidRDefault="00E01D42" w:rsidP="00E01D42">
            <w:pPr>
              <w:pStyle w:val="04TEXTOTABELAS"/>
              <w:rPr>
                <w:rStyle w:val="TextoBold"/>
              </w:rPr>
            </w:pPr>
            <w:r w:rsidRPr="00BC75D7">
              <w:rPr>
                <w:rStyle w:val="TextoBold"/>
              </w:rPr>
              <w:t>Capítulo 3 – Operações com números racionais</w:t>
            </w:r>
          </w:p>
          <w:p w14:paraId="33739038" w14:textId="77777777" w:rsidR="00E01D42" w:rsidRPr="003E2357" w:rsidRDefault="00E01D42" w:rsidP="00E01D42">
            <w:pPr>
              <w:pStyle w:val="04TEXTOTABELAS"/>
            </w:pPr>
            <w:r>
              <w:t xml:space="preserve">1. </w:t>
            </w:r>
            <w:r w:rsidRPr="003E2357">
              <w:t>Adição e subtração</w:t>
            </w:r>
          </w:p>
          <w:p w14:paraId="73707CCC" w14:textId="77777777" w:rsidR="00E01D42" w:rsidRPr="003E2357" w:rsidRDefault="00E01D42" w:rsidP="00E01D42">
            <w:pPr>
              <w:pStyle w:val="04TEXTOTABELAS"/>
            </w:pPr>
            <w:r>
              <w:t xml:space="preserve">2. </w:t>
            </w:r>
            <w:r w:rsidRPr="003E2357">
              <w:t>Multiplicação</w:t>
            </w:r>
          </w:p>
          <w:p w14:paraId="3D7090C0" w14:textId="77777777" w:rsidR="00E01D42" w:rsidRPr="003E2357" w:rsidRDefault="00E01D42" w:rsidP="00E01D42">
            <w:pPr>
              <w:pStyle w:val="04TEXTOTABELAS"/>
            </w:pPr>
            <w:r>
              <w:t xml:space="preserve">3. </w:t>
            </w:r>
            <w:r w:rsidRPr="003E2357">
              <w:t>Divisão</w:t>
            </w:r>
          </w:p>
          <w:p w14:paraId="226DEC4B" w14:textId="77777777" w:rsidR="00E01D42" w:rsidRPr="003E2357" w:rsidRDefault="00E01D42" w:rsidP="00E01D42">
            <w:pPr>
              <w:pStyle w:val="04TEXTOTABELAS"/>
            </w:pPr>
            <w:r>
              <w:t xml:space="preserve">4. </w:t>
            </w:r>
            <w:r w:rsidRPr="003E2357">
              <w:t xml:space="preserve">Potenciação  </w:t>
            </w:r>
          </w:p>
          <w:p w14:paraId="61D818B3" w14:textId="4557BB39" w:rsidR="00E01D42" w:rsidRPr="003E2357" w:rsidRDefault="00E01D42" w:rsidP="00E01D42">
            <w:pPr>
              <w:pStyle w:val="04TEXTOTABELAS"/>
            </w:pPr>
            <w:r w:rsidRPr="003E2357">
              <w:t>• C</w:t>
            </w:r>
            <w:r>
              <w:t xml:space="preserve">ódigo de </w:t>
            </w:r>
            <w:r w:rsidR="009C17E7">
              <w:t>D</w:t>
            </w:r>
            <w:r>
              <w:t xml:space="preserve">efesa do </w:t>
            </w:r>
            <w:r w:rsidR="009C17E7">
              <w:t>C</w:t>
            </w:r>
            <w:r>
              <w:t>onsumidor (</w:t>
            </w:r>
            <w:proofErr w:type="gramStart"/>
            <w:r>
              <w:t>s</w:t>
            </w:r>
            <w:r w:rsidRPr="003E2357">
              <w:t>eção</w:t>
            </w:r>
            <w:r>
              <w:t xml:space="preserve"> </w:t>
            </w:r>
            <w:r w:rsidRPr="003E2357">
              <w:t>Trabalhando</w:t>
            </w:r>
            <w:proofErr w:type="gramEnd"/>
            <w:r w:rsidRPr="003E2357">
              <w:t xml:space="preserve"> a informação)</w:t>
            </w:r>
          </w:p>
          <w:p w14:paraId="256A91CF" w14:textId="51B66587" w:rsidR="00E01D42" w:rsidRDefault="00E01D42" w:rsidP="00E01D42">
            <w:pPr>
              <w:pStyle w:val="04TEXTOTABELAS"/>
            </w:pPr>
            <w:r w:rsidRPr="003E2357">
              <w:t xml:space="preserve">• Construindo um gráfico de colunas </w:t>
            </w:r>
            <w:r>
              <w:t xml:space="preserve">duplas </w:t>
            </w:r>
            <w:r w:rsidR="009C17E7">
              <w:t>(</w:t>
            </w:r>
            <w:r>
              <w:t xml:space="preserve">seção Trabalhando a </w:t>
            </w:r>
            <w:r w:rsidRPr="003E2357">
              <w:t>informação)</w:t>
            </w:r>
          </w:p>
          <w:p w14:paraId="483A697E" w14:textId="77777777" w:rsidR="00E01D42" w:rsidRDefault="00E01D42" w:rsidP="00E01D42">
            <w:pPr>
              <w:pStyle w:val="04TEXTOTABELAS"/>
              <w:rPr>
                <w:b/>
              </w:rPr>
            </w:pPr>
          </w:p>
        </w:tc>
        <w:tc>
          <w:tcPr>
            <w:tcW w:w="1088" w:type="pct"/>
          </w:tcPr>
          <w:p w14:paraId="0B0A364F" w14:textId="77777777" w:rsidR="00E01D42" w:rsidRPr="00474B3B" w:rsidRDefault="00E01D42" w:rsidP="00474B3B">
            <w:pPr>
              <w:pStyle w:val="04TEXTOTABELAS"/>
              <w:rPr>
                <w:rStyle w:val="TextoBold"/>
              </w:rPr>
            </w:pPr>
            <w:r w:rsidRPr="00474B3B">
              <w:rPr>
                <w:rStyle w:val="TextoBold"/>
              </w:rPr>
              <w:t>Probabilidade e estatística</w:t>
            </w:r>
          </w:p>
          <w:p w14:paraId="03EDDED1" w14:textId="77777777" w:rsidR="00E01D42" w:rsidRPr="00BB7CAD" w:rsidRDefault="00E01D42" w:rsidP="00E01D42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</w:tcPr>
          <w:p w14:paraId="21D22C39" w14:textId="77777777" w:rsidR="00E01D42" w:rsidRDefault="00E01D42" w:rsidP="00E01D42">
            <w:pPr>
              <w:pStyle w:val="04TEXTOTABELAS"/>
            </w:pPr>
            <w:r>
              <w:t>Estatística: média e amplitude de um conjunto de dados</w:t>
            </w:r>
          </w:p>
          <w:p w14:paraId="5789BBCF" w14:textId="77777777" w:rsidR="00E01D42" w:rsidRDefault="00E01D42" w:rsidP="00E01D42">
            <w:pPr>
              <w:pStyle w:val="04TEXTOTABELAS"/>
            </w:pPr>
          </w:p>
        </w:tc>
        <w:tc>
          <w:tcPr>
            <w:tcW w:w="1616" w:type="pct"/>
          </w:tcPr>
          <w:p w14:paraId="16F7510A" w14:textId="77777777" w:rsidR="00E01D42" w:rsidRDefault="00E01D42" w:rsidP="00E01D42">
            <w:pPr>
              <w:pStyle w:val="04TEXTOTABELAS"/>
            </w:pPr>
            <w:r w:rsidRPr="003E2357">
              <w:rPr>
                <w:rStyle w:val="TextoBold"/>
              </w:rPr>
              <w:t>(EF07MA35)</w:t>
            </w:r>
            <w:r w:rsidRPr="00813127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Compreender, em contextos significativos, o significado de média estatística como indicador da tendência de uma pesquisa, calcular seu valor e relacioná-lo, intuitivamente, com a amplitude do conjunto de dados.</w:t>
            </w:r>
          </w:p>
          <w:p w14:paraId="59F6E3C4" w14:textId="77777777" w:rsidR="00E01D42" w:rsidRPr="003E2357" w:rsidRDefault="00E01D42" w:rsidP="00E01D42">
            <w:pPr>
              <w:pStyle w:val="04TEXTOTABELAS"/>
              <w:rPr>
                <w:rStyle w:val="TextoBold"/>
              </w:rPr>
            </w:pPr>
          </w:p>
        </w:tc>
      </w:tr>
    </w:tbl>
    <w:p w14:paraId="0FE4EBF2" w14:textId="64B87E56" w:rsidR="00E01D42" w:rsidRDefault="00E01D4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rPr>
          <w:rFonts w:ascii="Cambria" w:eastAsia="Cambria" w:hAnsi="Cambria" w:cs="Cambria"/>
          <w:b/>
          <w:bCs/>
          <w:sz w:val="36"/>
          <w:szCs w:val="28"/>
        </w:rPr>
        <w:br w:type="page"/>
      </w:r>
    </w:p>
    <w:p w14:paraId="245C20B0" w14:textId="3FAC2BC8" w:rsidR="00BF6C8D" w:rsidRDefault="00BF6C8D" w:rsidP="00BF6C8D">
      <w:pPr>
        <w:pStyle w:val="01TITULO2"/>
      </w:pPr>
      <w:bookmarkStart w:id="3" w:name="_Hlk523476681"/>
      <w:bookmarkEnd w:id="1"/>
      <w:r w:rsidRPr="0079165F">
        <w:lastRenderedPageBreak/>
        <w:t>Habilidades e práticas pedagógicas</w:t>
      </w:r>
    </w:p>
    <w:bookmarkEnd w:id="3"/>
    <w:p w14:paraId="2ACC83A5" w14:textId="5602FC88" w:rsidR="00BF6C8D" w:rsidRPr="00622DC6" w:rsidRDefault="00BF6C8D" w:rsidP="00BF6C8D">
      <w:pPr>
        <w:pStyle w:val="02TEXTOPRINCIPAL"/>
        <w:rPr>
          <w:b/>
          <w:sz w:val="22"/>
        </w:rPr>
      </w:pPr>
      <w:r>
        <w:t>O quadro a seguir apresenta</w:t>
      </w:r>
      <w:r w:rsidRPr="004D2FEF">
        <w:t xml:space="preserve"> sugestões de </w:t>
      </w:r>
      <w:r w:rsidRPr="004D2FEF">
        <w:rPr>
          <w:rStyle w:val="TextoBold"/>
          <w:sz w:val="22"/>
        </w:rPr>
        <w:t xml:space="preserve">práticas pedagógicas </w:t>
      </w:r>
      <w:r w:rsidRPr="004D2FEF">
        <w:t xml:space="preserve">para o desenvolvimento das </w:t>
      </w:r>
      <w:r w:rsidRPr="004D2FEF">
        <w:rPr>
          <w:rStyle w:val="TextoBold"/>
          <w:sz w:val="22"/>
        </w:rPr>
        <w:t xml:space="preserve">habilidades </w:t>
      </w:r>
      <w:r w:rsidRPr="004D2FEF">
        <w:t xml:space="preserve">indicadas </w:t>
      </w:r>
      <w:r>
        <w:t>para</w:t>
      </w:r>
      <w:r w:rsidRPr="004D2FEF">
        <w:t xml:space="preserve"> cada bimestre</w:t>
      </w:r>
      <w:r w:rsidRPr="00622DC6">
        <w:rPr>
          <w:rStyle w:val="TextoBold"/>
          <w:b w:val="0"/>
          <w:sz w:val="22"/>
        </w:rPr>
        <w:t>.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BF6C8D" w:rsidRPr="008875F5" w14:paraId="7E3B8484" w14:textId="77777777" w:rsidTr="004D0527">
        <w:trPr>
          <w:trHeight w:val="440"/>
        </w:trPr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53EFCA27" w14:textId="77777777" w:rsidR="00BF6C8D" w:rsidRPr="008875F5" w:rsidRDefault="00BF6C8D" w:rsidP="00D52A0D">
            <w:pPr>
              <w:pStyle w:val="03TITULOTABELAS2"/>
            </w:pPr>
            <w:r w:rsidRPr="008875F5">
              <w:t>Objetos de conhecimento da BNCC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312B29E3" w14:textId="77777777" w:rsidR="00BF6C8D" w:rsidRPr="008875F5" w:rsidRDefault="00BF6C8D" w:rsidP="00D52A0D">
            <w:pPr>
              <w:pStyle w:val="03TITULOTABELAS2"/>
            </w:pPr>
            <w:r w:rsidRPr="008875F5">
              <w:t>Habilidades da</w:t>
            </w:r>
            <w:r>
              <w:br/>
            </w:r>
            <w:r w:rsidRPr="008875F5">
              <w:t>BNCC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shd w:val="clear" w:color="auto" w:fill="auto"/>
          </w:tcPr>
          <w:p w14:paraId="5FF2BCA2" w14:textId="77777777" w:rsidR="00BF6C8D" w:rsidRPr="008875F5" w:rsidRDefault="00BF6C8D" w:rsidP="00D52A0D">
            <w:pPr>
              <w:pStyle w:val="03TITULOTABELAS2"/>
            </w:pPr>
            <w:r w:rsidRPr="008875F5">
              <w:t>Práticas pedagógicas</w:t>
            </w:r>
          </w:p>
        </w:tc>
      </w:tr>
      <w:tr w:rsidR="00BF6C8D" w:rsidRPr="00BA70B1" w14:paraId="292C5FA3" w14:textId="77777777" w:rsidTr="00A50750">
        <w:trPr>
          <w:trHeight w:val="440"/>
        </w:trPr>
        <w:tc>
          <w:tcPr>
            <w:tcW w:w="1205" w:type="pct"/>
            <w:vMerge w:val="restart"/>
          </w:tcPr>
          <w:p w14:paraId="1A66F1B1" w14:textId="1569C604" w:rsidR="00BF6C8D" w:rsidRDefault="00BF6C8D" w:rsidP="00D52A0D">
            <w:pPr>
              <w:pStyle w:val="04TEXTOTABELAS"/>
            </w:pPr>
            <w:r>
              <w:t xml:space="preserve">Números inteiros: </w:t>
            </w:r>
            <w:r w:rsidRPr="0036456F">
              <w:t>usos, história, ordenação,</w:t>
            </w:r>
            <w:r w:rsidR="00B328EA">
              <w:t xml:space="preserve"> </w:t>
            </w:r>
            <w:r w:rsidRPr="0036456F">
              <w:t>associação com pontos da reta numérica e</w:t>
            </w:r>
            <w:r w:rsidR="001C7F9C">
              <w:t xml:space="preserve"> </w:t>
            </w:r>
            <w:r w:rsidRPr="0036456F">
              <w:t>operações</w:t>
            </w:r>
          </w:p>
          <w:p w14:paraId="7A52C5CD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1355" w:type="pct"/>
          </w:tcPr>
          <w:p w14:paraId="547B33A5" w14:textId="77777777" w:rsidR="00BF6C8D" w:rsidRPr="00BA70B1" w:rsidRDefault="00BF6C8D" w:rsidP="00D52A0D">
            <w:pPr>
              <w:pStyle w:val="04TEXTOTABELAS"/>
            </w:pPr>
            <w:r w:rsidRPr="00B328EA">
              <w:rPr>
                <w:b/>
                <w:sz w:val="20"/>
                <w:szCs w:val="20"/>
              </w:rPr>
              <w:t>(EF07MA03)</w:t>
            </w:r>
            <w:r w:rsidRPr="00BA70B1">
              <w:t xml:space="preserve"> </w:t>
            </w:r>
            <w:r>
              <w:t>C</w:t>
            </w:r>
            <w:r w:rsidRPr="00BA70B1">
              <w:t>omparar e ordenar números inteiros em diferentes contextos, incluindo o histórico, associá-los a pontos da reta numérica e utilizá-los em situações que envolvam adição e subtração.</w:t>
            </w:r>
          </w:p>
          <w:p w14:paraId="1579299F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2440" w:type="pct"/>
            <w:tcBorders>
              <w:bottom w:val="single" w:sz="4" w:space="0" w:color="auto"/>
            </w:tcBorders>
          </w:tcPr>
          <w:p w14:paraId="643E62B8" w14:textId="1C53F6AA" w:rsidR="00BF6C8D" w:rsidRPr="00BA70B1" w:rsidRDefault="001C7F9C" w:rsidP="00D52A0D">
            <w:pPr>
              <w:pStyle w:val="02TEXTOPRINCIPALBULLET"/>
            </w:pPr>
            <w:r>
              <w:t>Providencie</w:t>
            </w:r>
            <w:r w:rsidR="00BF6C8D" w:rsidRPr="00BA70B1">
              <w:t xml:space="preserve"> mapas com indicação de temperatura, de índice pluviométrico e de fuso horário para os alunos: a) identificarem locais com temperatura positiva, nula ou negativa; </w:t>
            </w:r>
            <w:r w:rsidR="00240251">
              <w:br/>
            </w:r>
            <w:r w:rsidR="00BF6C8D" w:rsidRPr="00BA70B1">
              <w:t xml:space="preserve">b) calcularem amplitudes térmicas e pluviométricas; c) </w:t>
            </w:r>
            <w:r w:rsidR="007D7CF2">
              <w:t xml:space="preserve">identificarem </w:t>
            </w:r>
            <w:r w:rsidR="00BF6C8D" w:rsidRPr="00BA70B1">
              <w:t>variações de temperatura em um mesmo local; d) calcularem o horário do momento em diversas cidades do mundo.</w:t>
            </w:r>
          </w:p>
          <w:p w14:paraId="485E2242" w14:textId="15DE3FCD" w:rsidR="00BF6C8D" w:rsidRPr="00BA70B1" w:rsidRDefault="007D7CF2" w:rsidP="00D52A0D">
            <w:pPr>
              <w:pStyle w:val="02TEXTOPRINCIPALBULLET"/>
            </w:pPr>
            <w:r>
              <w:t>Solicite</w:t>
            </w:r>
            <w:r w:rsidR="00BF6C8D" w:rsidRPr="00BA70B1">
              <w:t xml:space="preserve"> aos alunos </w:t>
            </w:r>
            <w:r>
              <w:t>que levem</w:t>
            </w:r>
            <w:r w:rsidR="00BF6C8D" w:rsidRPr="00BA70B1">
              <w:t xml:space="preserve"> para a aula recortes de jornais com tabelas de campeonatos de diversas modalidades esportivas </w:t>
            </w:r>
            <w:r>
              <w:t>em que apareça</w:t>
            </w:r>
            <w:r w:rsidR="00BF6C8D" w:rsidRPr="00BA70B1">
              <w:t xml:space="preserve"> a class</w:t>
            </w:r>
            <w:r>
              <w:t xml:space="preserve">ificação </w:t>
            </w:r>
            <w:r w:rsidR="00881408">
              <w:t>dos atletas/</w:t>
            </w:r>
            <w:r>
              <w:t>equipes. Apresente</w:t>
            </w:r>
            <w:r w:rsidR="00BF6C8D" w:rsidRPr="00BA70B1">
              <w:t xml:space="preserve"> textos ou áudios/vídeos das regras especí</w:t>
            </w:r>
            <w:r>
              <w:t>ficas de cada esporte e analise</w:t>
            </w:r>
            <w:r w:rsidR="00BF6C8D" w:rsidRPr="00BA70B1">
              <w:t xml:space="preserve"> os saldos de pontuação com números inteiros que definem as classificações.</w:t>
            </w:r>
          </w:p>
          <w:p w14:paraId="7F603709" w14:textId="24561EDB" w:rsidR="007F5D14" w:rsidRPr="00BA70B1" w:rsidRDefault="00BF6C8D" w:rsidP="007F5D14">
            <w:pPr>
              <w:pStyle w:val="02TEXTOPRINCIPALBULLET"/>
            </w:pPr>
            <w:r w:rsidRPr="00BA70B1">
              <w:t>Orient</w:t>
            </w:r>
            <w:r w:rsidR="007D7CF2">
              <w:t>e</w:t>
            </w:r>
            <w:r w:rsidRPr="00BA70B1">
              <w:t xml:space="preserve"> a construção da reta numérica em tiras de papel para a localização dos números inteiros </w:t>
            </w:r>
            <w:r w:rsidR="007D7CF2" w:rsidRPr="00BA70B1">
              <w:t>a partir do zero</w:t>
            </w:r>
            <w:r w:rsidR="007D7CF2">
              <w:t>; por meio da posição</w:t>
            </w:r>
            <w:r w:rsidRPr="00BA70B1">
              <w:t xml:space="preserve"> podem ser exploradas as relaç</w:t>
            </w:r>
            <w:r w:rsidR="007D7CF2">
              <w:t>ões de menor/maior, de simetria</w:t>
            </w:r>
            <w:r w:rsidRPr="00BA70B1">
              <w:t xml:space="preserve"> e as operações adição e subtração.</w:t>
            </w:r>
          </w:p>
        </w:tc>
      </w:tr>
      <w:tr w:rsidR="00BF6C8D" w:rsidRPr="00BA70B1" w14:paraId="27D6D1F8" w14:textId="77777777" w:rsidTr="004D0527">
        <w:trPr>
          <w:trHeight w:val="440"/>
        </w:trPr>
        <w:tc>
          <w:tcPr>
            <w:tcW w:w="1205" w:type="pct"/>
            <w:vMerge/>
            <w:tcBorders>
              <w:bottom w:val="single" w:sz="4" w:space="0" w:color="auto"/>
            </w:tcBorders>
          </w:tcPr>
          <w:p w14:paraId="265DC45C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7642D695" w14:textId="77777777" w:rsidR="00BF6C8D" w:rsidRPr="00BA70B1" w:rsidRDefault="00BF6C8D" w:rsidP="00D52A0D">
            <w:pPr>
              <w:pStyle w:val="04TEXTOTABELAS"/>
            </w:pPr>
            <w:r w:rsidRPr="00B328EA">
              <w:rPr>
                <w:b/>
                <w:sz w:val="20"/>
                <w:szCs w:val="20"/>
              </w:rPr>
              <w:t>(EF07MA04)</w:t>
            </w:r>
            <w:r w:rsidRPr="00BA70B1">
              <w:t xml:space="preserve"> Resolver e elaborar problemas que envolvam operações com números inteiros.</w:t>
            </w:r>
          </w:p>
          <w:p w14:paraId="7D2F182C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2440" w:type="pct"/>
            <w:tcBorders>
              <w:bottom w:val="single" w:sz="4" w:space="0" w:color="auto"/>
            </w:tcBorders>
          </w:tcPr>
          <w:p w14:paraId="12BF4E8B" w14:textId="2941959B" w:rsidR="00BF6C8D" w:rsidRPr="00BA70B1" w:rsidRDefault="007A1DFC" w:rsidP="00D52A0D">
            <w:pPr>
              <w:pStyle w:val="02TEXTOPRINCIPALBULLET"/>
            </w:pPr>
            <w:r>
              <w:t>Apresente</w:t>
            </w:r>
            <w:r w:rsidR="00BF6C8D" w:rsidRPr="00BA70B1">
              <w:t xml:space="preserve"> atividades de cálculo exato ou com arredondamento para serem efetuadas por meio de técnicas tradicionais, por cálculo mental, por</w:t>
            </w:r>
            <w:r w:rsidR="00BF6C8D">
              <w:t xml:space="preserve"> </w:t>
            </w:r>
            <w:r w:rsidR="00BF6C8D" w:rsidRPr="00BA70B1">
              <w:t xml:space="preserve">decomposição, com o uso da calculadora. </w:t>
            </w:r>
          </w:p>
          <w:p w14:paraId="5034D607" w14:textId="5DA5D613" w:rsidR="00BF6C8D" w:rsidRPr="00BA70B1" w:rsidRDefault="007A1DFC" w:rsidP="00D52A0D">
            <w:pPr>
              <w:pStyle w:val="02TEXTOPRINCIPALBULLET"/>
            </w:pPr>
            <w:r>
              <w:t>Distribua</w:t>
            </w:r>
            <w:r w:rsidR="00BF6C8D" w:rsidRPr="00BA70B1">
              <w:t xml:space="preserve"> fichas com expressões numéricas para que, em dupla</w:t>
            </w:r>
            <w:r>
              <w:t xml:space="preserve">s, os alunos elaborem situações </w:t>
            </w:r>
            <w:r w:rsidR="00BF6C8D" w:rsidRPr="00BA70B1">
              <w:t>problema cuja resolução se dê pela expressão dada em cada ficha.</w:t>
            </w:r>
          </w:p>
          <w:p w14:paraId="1603B8D7" w14:textId="0CD63BF4" w:rsidR="00BF6C8D" w:rsidRPr="00BA70B1" w:rsidRDefault="00BF6C8D" w:rsidP="00A50750">
            <w:pPr>
              <w:pStyle w:val="02TEXTOPRINCIPALBULLET"/>
              <w:numPr>
                <w:ilvl w:val="0"/>
                <w:numId w:val="0"/>
              </w:numPr>
              <w:ind w:left="227"/>
            </w:pPr>
          </w:p>
        </w:tc>
      </w:tr>
    </w:tbl>
    <w:p w14:paraId="6A6230D6" w14:textId="77777777" w:rsidR="00A50750" w:rsidRDefault="00A50750" w:rsidP="00A50750">
      <w:pPr>
        <w:pStyle w:val="06CREDITO"/>
        <w:jc w:val="right"/>
      </w:pPr>
      <w:r>
        <w:t>(continua)</w:t>
      </w:r>
    </w:p>
    <w:p w14:paraId="03AB6C28" w14:textId="77777777" w:rsidR="00A50750" w:rsidRDefault="00A50750" w:rsidP="00A50750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A50750" w:rsidRPr="00BA70B1" w14:paraId="488FAE86" w14:textId="77777777" w:rsidTr="004D0527">
        <w:trPr>
          <w:trHeight w:val="440"/>
        </w:trPr>
        <w:tc>
          <w:tcPr>
            <w:tcW w:w="1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FA345C" w14:textId="10D2008E" w:rsidR="00A50750" w:rsidRPr="00BA70B1" w:rsidRDefault="00A50750" w:rsidP="00D52A0D">
            <w:pPr>
              <w:pStyle w:val="04TEXTOTABELAS"/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14:paraId="25B7A5FC" w14:textId="77777777" w:rsidR="00A50750" w:rsidRPr="00B328EA" w:rsidRDefault="00A50750" w:rsidP="00D52A0D">
            <w:pPr>
              <w:pStyle w:val="04TEXTOTABELAS"/>
              <w:rPr>
                <w:b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</w:tcBorders>
          </w:tcPr>
          <w:p w14:paraId="11677211" w14:textId="11C6C075" w:rsidR="00A50750" w:rsidRDefault="00A50750" w:rsidP="00D52A0D">
            <w:pPr>
              <w:pStyle w:val="02TEXTOPRINCIPALBULLET"/>
            </w:pPr>
            <w:r>
              <w:t>Construa</w:t>
            </w:r>
            <w:r w:rsidRPr="00BA70B1">
              <w:t xml:space="preserve"> com os alunos expressões numéricas escritas na lousa. </w:t>
            </w:r>
            <w:r>
              <w:t xml:space="preserve">Peça </w:t>
            </w:r>
            <w:r w:rsidRPr="00BA70B1">
              <w:t xml:space="preserve">a um aluno </w:t>
            </w:r>
            <w:r>
              <w:t>que escreva</w:t>
            </w:r>
            <w:r w:rsidRPr="00BA70B1">
              <w:t xml:space="preserve"> um número inteiro. Outro aluno escreve em outra linha, por exemplo, uma adição cuja soma é o número escrito anteriormente. Segue com outros alunos, cada um reescrevendo a expressão anterior e acrescentando, inclusive com sinais de agrupamento (parênteses, colchetes e chaves), outro cálculo ou substituindo um dos números por uma operação cujo resultado é o número substituído, até onde considerar conveniente. Depois</w:t>
            </w:r>
            <w:r>
              <w:t>,</w:t>
            </w:r>
            <w:r w:rsidRPr="00BA70B1">
              <w:t xml:space="preserve"> outro aluno é convidado a iniciar a resolução, seguido de outros que, passo a passo, continuam a resolução até chegar </w:t>
            </w:r>
            <w:r>
              <w:t>ao</w:t>
            </w:r>
            <w:r w:rsidRPr="00BA70B1">
              <w:t xml:space="preserve"> número inicial.</w:t>
            </w:r>
          </w:p>
        </w:tc>
      </w:tr>
      <w:tr w:rsidR="00BF6C8D" w:rsidRPr="00BA70B1" w14:paraId="760F09DF" w14:textId="77777777" w:rsidTr="004D0527">
        <w:trPr>
          <w:trHeight w:val="440"/>
        </w:trPr>
        <w:tc>
          <w:tcPr>
            <w:tcW w:w="1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41E3F8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1355" w:type="pct"/>
            <w:tcBorders>
              <w:top w:val="single" w:sz="4" w:space="0" w:color="auto"/>
            </w:tcBorders>
          </w:tcPr>
          <w:p w14:paraId="35D388DF" w14:textId="672BEA25" w:rsidR="00BF6C8D" w:rsidRPr="00BA70B1" w:rsidRDefault="00BF6C8D" w:rsidP="00D52A0D">
            <w:pPr>
              <w:pStyle w:val="04TEXTOTABELAS"/>
            </w:pPr>
            <w:r w:rsidRPr="00B328EA">
              <w:rPr>
                <w:b/>
                <w:sz w:val="20"/>
                <w:szCs w:val="20"/>
              </w:rPr>
              <w:t>(EF07MA</w:t>
            </w:r>
            <w:r w:rsidR="004E4DC5" w:rsidRPr="00B328EA">
              <w:rPr>
                <w:b/>
                <w:sz w:val="20"/>
                <w:szCs w:val="20"/>
              </w:rPr>
              <w:t>10</w:t>
            </w:r>
            <w:r w:rsidRPr="00B328EA">
              <w:rPr>
                <w:b/>
                <w:sz w:val="20"/>
                <w:szCs w:val="20"/>
              </w:rPr>
              <w:t>)</w:t>
            </w:r>
            <w:r w:rsidRPr="00BA70B1">
              <w:t xml:space="preserve"> Comparar e ordenar números racionais em diferentes contextos e associá-los a pontos da reta numérica.</w:t>
            </w:r>
          </w:p>
          <w:p w14:paraId="0F369C85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2440" w:type="pct"/>
            <w:tcBorders>
              <w:top w:val="single" w:sz="4" w:space="0" w:color="auto"/>
            </w:tcBorders>
          </w:tcPr>
          <w:p w14:paraId="3D1F5510" w14:textId="70C63E2A" w:rsidR="00BF6C8D" w:rsidRPr="00BA70B1" w:rsidRDefault="004E4DC5" w:rsidP="00770899">
            <w:pPr>
              <w:pStyle w:val="02TEXTOPRINCIPALBULLET"/>
            </w:pPr>
            <w:r>
              <w:t>Oriente</w:t>
            </w:r>
            <w:r w:rsidR="00BF6C8D" w:rsidRPr="00BA70B1">
              <w:t xml:space="preserve"> os alunos </w:t>
            </w:r>
            <w:r>
              <w:t>a construírem</w:t>
            </w:r>
            <w:r w:rsidR="00BF6C8D" w:rsidRPr="00BA70B1">
              <w:t xml:space="preserve"> no caderno uma reta numérica, com uma unidade arbitrária, </w:t>
            </w:r>
            <w:r w:rsidR="00522518">
              <w:t>na qual</w:t>
            </w:r>
            <w:r w:rsidR="00BF6C8D" w:rsidRPr="00BA70B1">
              <w:t xml:space="preserve"> identifiquem inicialmente pontos associados aos números inteiros de </w:t>
            </w:r>
            <w:r w:rsidR="00522518">
              <w:noBreakHyphen/>
            </w:r>
            <w:r w:rsidR="00BF6C8D" w:rsidRPr="00BA70B1">
              <w:t xml:space="preserve">2 a +2. Com régua e compasso, eles devem dividir em 10 partes iguais o segmento com extremidades 0 e 1 (a unidade), a exemplo da página </w:t>
            </w:r>
            <w:r w:rsidR="00522518">
              <w:t>51</w:t>
            </w:r>
            <w:r w:rsidR="00BF6C8D" w:rsidRPr="00BA70B1">
              <w:t xml:space="preserve"> do livro </w:t>
            </w:r>
            <w:r w:rsidR="00EB2CE3">
              <w:t>do estudante</w:t>
            </w:r>
            <w:r w:rsidR="00BF6C8D" w:rsidRPr="00BA70B1">
              <w:t xml:space="preserve">. Usando o compasso com abertura igual a um décimo de unidade, </w:t>
            </w:r>
            <w:r w:rsidR="00522518">
              <w:t>devem marcar</w:t>
            </w:r>
            <w:r w:rsidR="00BF6C8D" w:rsidRPr="00BA70B1">
              <w:t xml:space="preserve"> os pontos associados aos números </w:t>
            </w:r>
            <w:r w:rsidR="00770899">
              <w:t>-</w:t>
            </w:r>
            <w:r w:rsidR="00BF6C8D" w:rsidRPr="00BA70B1">
              <w:t xml:space="preserve">2,0; </w:t>
            </w:r>
            <w:r w:rsidR="00770899">
              <w:t>-</w:t>
            </w:r>
            <w:r w:rsidR="00BF6C8D" w:rsidRPr="00BA70B1">
              <w:t>1,9; -1,8; -1,7; ...;</w:t>
            </w:r>
            <w:r w:rsidR="00770899">
              <w:t xml:space="preserve"> </w:t>
            </w:r>
            <w:r w:rsidR="00BF6C8D" w:rsidRPr="00BA70B1">
              <w:t>-1,0; -0,9; ...; -0,1; 0; 0,1;</w:t>
            </w:r>
            <w:r w:rsidR="00770899">
              <w:t xml:space="preserve"> 0,2; ...; 1,9; 2,0. Identifique</w:t>
            </w:r>
            <w:r w:rsidR="00BF6C8D" w:rsidRPr="00BA70B1">
              <w:t>, nos pontos marcados nesse intervalo da reta, o menor e o maior número não inteiro</w:t>
            </w:r>
            <w:r w:rsidR="00D97A3C">
              <w:t>s</w:t>
            </w:r>
            <w:r w:rsidR="00BF6C8D" w:rsidRPr="00BA70B1">
              <w:t>.</w:t>
            </w:r>
          </w:p>
        </w:tc>
      </w:tr>
    </w:tbl>
    <w:p w14:paraId="7E3202A0" w14:textId="77777777" w:rsidR="00A50750" w:rsidRDefault="00A50750" w:rsidP="00A50750">
      <w:pPr>
        <w:pStyle w:val="06CREDITO"/>
        <w:jc w:val="right"/>
      </w:pPr>
      <w:r>
        <w:t>(continua)</w:t>
      </w:r>
    </w:p>
    <w:p w14:paraId="74215713" w14:textId="77777777" w:rsidR="00A50750" w:rsidRDefault="00A50750" w:rsidP="00A50750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BF6C8D" w:rsidRPr="00BA70B1" w14:paraId="6D356856" w14:textId="77777777" w:rsidTr="004D0527">
        <w:trPr>
          <w:trHeight w:val="440"/>
        </w:trPr>
        <w:tc>
          <w:tcPr>
            <w:tcW w:w="1205" w:type="pct"/>
            <w:tcBorders>
              <w:top w:val="single" w:sz="4" w:space="0" w:color="auto"/>
            </w:tcBorders>
          </w:tcPr>
          <w:p w14:paraId="39FA9FA8" w14:textId="040E6C95" w:rsidR="00BF6C8D" w:rsidRPr="00BA70B1" w:rsidRDefault="00BF6C8D" w:rsidP="00D52A0D">
            <w:pPr>
              <w:pStyle w:val="04TEXTOTABELAS"/>
            </w:pPr>
          </w:p>
        </w:tc>
        <w:tc>
          <w:tcPr>
            <w:tcW w:w="1355" w:type="pct"/>
          </w:tcPr>
          <w:p w14:paraId="5ECBBC62" w14:textId="0CE90908" w:rsidR="00BF6C8D" w:rsidRPr="00BA70B1" w:rsidRDefault="00BF6C8D" w:rsidP="00D52A0D">
            <w:pPr>
              <w:pStyle w:val="04TEXTOTABELAS"/>
            </w:pPr>
            <w:r w:rsidRPr="00B328EA">
              <w:rPr>
                <w:b/>
                <w:sz w:val="20"/>
                <w:szCs w:val="20"/>
              </w:rPr>
              <w:t>(EF07MA11)</w:t>
            </w:r>
            <w:r w:rsidR="002D6CBE">
              <w:t xml:space="preserve"> </w:t>
            </w:r>
            <w:r w:rsidR="00770899">
              <w:t>C</w:t>
            </w:r>
            <w:r w:rsidRPr="00BA70B1">
              <w:t>ompreender e utilizar a multiplicação e a divisão de números racionais, a relação entre elas e suas propriedades operatórias.</w:t>
            </w:r>
          </w:p>
          <w:p w14:paraId="4906D8F6" w14:textId="77777777" w:rsidR="00BF6C8D" w:rsidRPr="00BA70B1" w:rsidRDefault="00BF6C8D" w:rsidP="00D52A0D">
            <w:pPr>
              <w:pStyle w:val="04TEXTOTABELAS"/>
            </w:pPr>
          </w:p>
        </w:tc>
        <w:tc>
          <w:tcPr>
            <w:tcW w:w="2440" w:type="pct"/>
          </w:tcPr>
          <w:p w14:paraId="26BE3BA5" w14:textId="05048F17" w:rsidR="00BF6C8D" w:rsidRPr="00BA70B1" w:rsidRDefault="00770899" w:rsidP="00622DC6">
            <w:pPr>
              <w:pStyle w:val="02TEXTOPRINCIPALBULLET"/>
            </w:pPr>
            <w:r>
              <w:t>Distribua</w:t>
            </w:r>
            <w:r w:rsidR="00BF6C8D" w:rsidRPr="00BA70B1">
              <w:t xml:space="preserve"> modelos de cédulas e de moedas nacionais e/ou estrangeiras </w:t>
            </w:r>
            <w:r w:rsidR="00327D58">
              <w:t>a</w:t>
            </w:r>
            <w:r w:rsidR="00BF6C8D" w:rsidRPr="00BA70B1">
              <w:t xml:space="preserve"> serem usadas por dois grupos de alunos: os comerciantes, donos de bazares fictícios montados na sala de aula; e os </w:t>
            </w:r>
            <w:r>
              <w:t>clientes,</w:t>
            </w:r>
            <w:r w:rsidR="00BF6C8D" w:rsidRPr="00BA70B1">
              <w:t xml:space="preserve"> que comprar</w:t>
            </w:r>
            <w:r>
              <w:t>ão</w:t>
            </w:r>
            <w:r w:rsidR="00BF6C8D" w:rsidRPr="00BA70B1">
              <w:t xml:space="preserve"> objetos representados por fichas </w:t>
            </w:r>
            <w:r w:rsidR="00327D58">
              <w:t>identificadas</w:t>
            </w:r>
            <w:r w:rsidR="00BF6C8D" w:rsidRPr="00BA70B1">
              <w:t xml:space="preserve"> com nome e descrição sucinta desses objetos. Os alunos devem elaborar previamente um painel com informações sobre o numerário usado: país de origem, histórico, equivalente em moeda nacional (quando for dinhei</w:t>
            </w:r>
            <w:r w:rsidR="00327D58">
              <w:t>ro estrangeiro) etc. Estabeleça</w:t>
            </w:r>
            <w:r w:rsidR="00BF6C8D" w:rsidRPr="00BA70B1">
              <w:t xml:space="preserve"> um período de tempo, por exemplo</w:t>
            </w:r>
            <w:r w:rsidR="002A316B">
              <w:t>,</w:t>
            </w:r>
            <w:r w:rsidR="00BF6C8D" w:rsidRPr="00BA70B1">
              <w:t xml:space="preserve"> 10 minutos, para as compras e vendas, pagamentos e trocos.</w:t>
            </w:r>
          </w:p>
          <w:p w14:paraId="6B030075" w14:textId="3936F620" w:rsidR="00BF6C8D" w:rsidRPr="00BA70B1" w:rsidRDefault="00327D58" w:rsidP="00327D58">
            <w:pPr>
              <w:pStyle w:val="02TEXTOPRINCIPALBULLET"/>
            </w:pPr>
            <w:r>
              <w:t>Tanto os compradores</w:t>
            </w:r>
            <w:r w:rsidR="00BF6C8D" w:rsidRPr="00BA70B1">
              <w:t xml:space="preserve"> quanto os vendedores devem registrar no caderno, em uma tabela e também em uma reta numérica, o saldo inicial (valor recebido </w:t>
            </w:r>
            <w:r>
              <w:t>no início</w:t>
            </w:r>
            <w:r w:rsidR="00BF6C8D" w:rsidRPr="00BA70B1">
              <w:t xml:space="preserve">), as movimentações de pagamento e de troco com os saldos parciais e </w:t>
            </w:r>
            <w:r>
              <w:t>o final. Pode e deve</w:t>
            </w:r>
            <w:r w:rsidR="00BF6C8D" w:rsidRPr="00BA70B1">
              <w:t xml:space="preserve"> haver compras a crédito (fiado) a serem pagas em parcelas iguais, </w:t>
            </w:r>
            <w:r>
              <w:t>possibilitando que apareça</w:t>
            </w:r>
            <w:r w:rsidR="00BF6C8D" w:rsidRPr="00BA70B1">
              <w:t>m saldos negativos.</w:t>
            </w:r>
          </w:p>
        </w:tc>
      </w:tr>
      <w:tr w:rsidR="00BF6C8D" w:rsidRPr="00BA70B1" w14:paraId="05B2B090" w14:textId="77777777" w:rsidTr="00BF6C8D">
        <w:trPr>
          <w:trHeight w:val="440"/>
        </w:trPr>
        <w:tc>
          <w:tcPr>
            <w:tcW w:w="1205" w:type="pct"/>
          </w:tcPr>
          <w:p w14:paraId="34F0915F" w14:textId="77777777" w:rsidR="00BF6C8D" w:rsidRPr="00BA70B1" w:rsidRDefault="00BF6C8D" w:rsidP="00D52A0D">
            <w:pPr>
              <w:pStyle w:val="04TEXTOTABELAS"/>
            </w:pPr>
            <w:r w:rsidRPr="0036456F">
              <w:t>Estatística: média e amplitude de um conjunto de</w:t>
            </w:r>
            <w:r>
              <w:t xml:space="preserve"> dados</w:t>
            </w:r>
          </w:p>
        </w:tc>
        <w:tc>
          <w:tcPr>
            <w:tcW w:w="1355" w:type="pct"/>
          </w:tcPr>
          <w:p w14:paraId="0C05B32B" w14:textId="77777777" w:rsidR="00BF6C8D" w:rsidRPr="00BA70B1" w:rsidRDefault="00BF6C8D" w:rsidP="00D52A0D">
            <w:pPr>
              <w:pStyle w:val="04TEXTOTABELAS"/>
            </w:pPr>
            <w:r w:rsidRPr="00B328EA">
              <w:rPr>
                <w:b/>
                <w:sz w:val="20"/>
                <w:szCs w:val="20"/>
              </w:rPr>
              <w:t>(EF07MA35)</w:t>
            </w:r>
            <w:r w:rsidRPr="00BA70B1">
              <w:t xml:space="preserve"> Compreender, em contextos significativos, o significado de média estatística como indicador da tendência de uma pesquisa, calcular seu valor e relacioná-lo, intuitivamente, com a amplitude do conjunto de dados.</w:t>
            </w:r>
          </w:p>
        </w:tc>
        <w:tc>
          <w:tcPr>
            <w:tcW w:w="2440" w:type="pct"/>
          </w:tcPr>
          <w:p w14:paraId="4A26FAAD" w14:textId="6C5F75A1" w:rsidR="00BF6C8D" w:rsidRDefault="009D7A79" w:rsidP="00622DC6">
            <w:pPr>
              <w:pStyle w:val="02TEXTOPRINCIPALBULLET"/>
            </w:pPr>
            <w:r>
              <w:t>Apresente</w:t>
            </w:r>
            <w:r w:rsidR="00BF6C8D" w:rsidRPr="00BA70B1">
              <w:t xml:space="preserve"> matérias de jornais e </w:t>
            </w:r>
            <w:r w:rsidR="00BF6C8D" w:rsidRPr="009D7A79">
              <w:t>revistas</w:t>
            </w:r>
            <w:r w:rsidR="00BF6C8D" w:rsidRPr="00BA70B1">
              <w:t xml:space="preserve"> com tabelas sobre contextos </w:t>
            </w:r>
            <w:r w:rsidRPr="00BA70B1">
              <w:t xml:space="preserve">variados </w:t>
            </w:r>
            <w:r w:rsidR="00BF6C8D" w:rsidRPr="00BA70B1">
              <w:t>(sociais, ambientais, culturais, esportivos). Os alunos devem calcular a média aritmética e a amplitude do conjunto de dados e cada variável da tabela, construir um gráfico de colunas e nele traçar a reta que indica a média do c</w:t>
            </w:r>
            <w:r w:rsidR="00622DC6">
              <w:t>onjunto de dados das variáveis.</w:t>
            </w:r>
          </w:p>
          <w:p w14:paraId="7E510827" w14:textId="78F8DEE3" w:rsidR="009D7A79" w:rsidRPr="00BA70B1" w:rsidRDefault="009D7A79" w:rsidP="00622DC6">
            <w:pPr>
              <w:pStyle w:val="02TEXTOPRINCIPALBULLET"/>
            </w:pPr>
            <w:r w:rsidRPr="00BA70B1">
              <w:t>Com a finalidade de avaliar os estudo</w:t>
            </w:r>
            <w:r>
              <w:t xml:space="preserve">s realizados no bimestre, proponha </w:t>
            </w:r>
            <w:r w:rsidRPr="00BA70B1">
              <w:t>atividades que permitam ao</w:t>
            </w:r>
            <w:r>
              <w:t>s</w:t>
            </w:r>
            <w:r w:rsidRPr="00BA70B1">
              <w:t xml:space="preserve"> aluno</w:t>
            </w:r>
            <w:r>
              <w:t>s</w:t>
            </w:r>
            <w:r w:rsidRPr="00BA70B1">
              <w:t xml:space="preserve"> retomar, articular e aplicar os conteúdos estudados.</w:t>
            </w:r>
          </w:p>
        </w:tc>
      </w:tr>
    </w:tbl>
    <w:p w14:paraId="3C4CAC40" w14:textId="77777777" w:rsidR="00A50750" w:rsidRDefault="00A50750" w:rsidP="00B328EA">
      <w:pPr>
        <w:pStyle w:val="01TITULO2"/>
      </w:pPr>
      <w:bookmarkStart w:id="4" w:name="_Hlk525208455"/>
      <w:bookmarkEnd w:id="0"/>
    </w:p>
    <w:p w14:paraId="0F712E6B" w14:textId="77777777" w:rsidR="00A50750" w:rsidRDefault="00A5075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bookmarkEnd w:id="4"/>
    <w:p w14:paraId="1AB82B5C" w14:textId="77777777" w:rsidR="000261EB" w:rsidRPr="0079179C" w:rsidRDefault="000261EB" w:rsidP="000261EB">
      <w:pPr>
        <w:pStyle w:val="01TITULO2"/>
      </w:pPr>
      <w:r w:rsidRPr="0079179C">
        <w:lastRenderedPageBreak/>
        <w:t>Subsídios para o trabalho</w:t>
      </w:r>
    </w:p>
    <w:p w14:paraId="266425A4" w14:textId="77777777" w:rsidR="000261EB" w:rsidRPr="00D1086D" w:rsidRDefault="000261EB" w:rsidP="000261EB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30283C66" w14:textId="77777777" w:rsidR="001D4247" w:rsidRDefault="001D4247" w:rsidP="001D4247">
      <w:pPr>
        <w:pStyle w:val="02TEXTOPRINCIPALBULLET"/>
        <w:numPr>
          <w:ilvl w:val="0"/>
          <w:numId w:val="7"/>
        </w:numPr>
      </w:pPr>
      <w:bookmarkStart w:id="5" w:name="_Hlk526251139"/>
      <w:r>
        <w:t xml:space="preserve">APM – Associação de Professores de Matemática (Portugal). Disponível em: </w:t>
      </w:r>
      <w:hyperlink r:id="rId8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14:paraId="12A1E109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Caem – Centro de Aperfeiçoamento do Ensino da Matemática (USP). Disponível em: </w:t>
      </w:r>
      <w:hyperlink r:id="rId9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14:paraId="6742D0C9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0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14:paraId="0950A9E8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1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14:paraId="7692D88F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2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14:paraId="7A8AD763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3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14:paraId="3B75F178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14:paraId="36BD4FDA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14:paraId="17AD2E12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6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14:paraId="69CD3424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14:paraId="00562D7C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de São Paulo (USP). Disponível em: </w:t>
      </w:r>
      <w:hyperlink r:id="rId18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14:paraId="051BB0D0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14:paraId="125AC8F9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0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14:paraId="3FDCBD27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1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14:paraId="125159C6" w14:textId="77777777" w:rsidR="001D4247" w:rsidRPr="003224AB" w:rsidRDefault="001D4247" w:rsidP="001D4247">
      <w:pPr>
        <w:pStyle w:val="02TEXTOPRINCIPALBULLET"/>
        <w:numPr>
          <w:ilvl w:val="0"/>
          <w:numId w:val="7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2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bookmarkEnd w:id="5"/>
    <w:p w14:paraId="0B89B1AB" w14:textId="77777777" w:rsidR="000261EB" w:rsidRDefault="000261EB" w:rsidP="000261E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0377C76" w14:textId="77777777" w:rsidR="001D4247" w:rsidRDefault="001D4247" w:rsidP="001D4247">
      <w:pPr>
        <w:pStyle w:val="02TEXTOPRINCIPALBULLET"/>
        <w:numPr>
          <w:ilvl w:val="0"/>
          <w:numId w:val="7"/>
        </w:numPr>
      </w:pPr>
      <w:bookmarkStart w:id="6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3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14:paraId="7BAE88CA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Projeto Fundão da Universidade Federal do Rio de Janeiro (UFRJ). Disponível em: </w:t>
      </w:r>
      <w:hyperlink r:id="rId24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14:paraId="71C2A9FC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SBEM – Sociedade Brasileira de Educação Matemática. Disponível em: </w:t>
      </w:r>
      <w:hyperlink r:id="rId25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54002B72" w14:textId="77777777" w:rsidR="001D4247" w:rsidRDefault="001D4247" w:rsidP="001D4247">
      <w:pPr>
        <w:pStyle w:val="02TEXTOPRINCIPALBULLET"/>
        <w:numPr>
          <w:ilvl w:val="0"/>
          <w:numId w:val="7"/>
        </w:numPr>
      </w:pPr>
      <w:r>
        <w:t xml:space="preserve">SBM – Sociedade Brasileira de Matemática. Disponível em: </w:t>
      </w:r>
      <w:hyperlink r:id="rId26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6"/>
    <w:p w14:paraId="4EF745A9" w14:textId="77777777" w:rsidR="000261EB" w:rsidRDefault="000261EB" w:rsidP="000261EB">
      <w:pPr>
        <w:pStyle w:val="01TITULO3"/>
        <w:rPr>
          <w:rFonts w:cstheme="minorHAnsi"/>
        </w:rPr>
      </w:pPr>
      <w:r>
        <w:t>Livros</w:t>
      </w:r>
    </w:p>
    <w:p w14:paraId="7F385588" w14:textId="77777777" w:rsidR="000261EB" w:rsidRDefault="000261EB" w:rsidP="000261EB">
      <w:pPr>
        <w:pStyle w:val="01TITULO4"/>
      </w:pPr>
      <w:r>
        <w:t xml:space="preserve">Números </w:t>
      </w:r>
    </w:p>
    <w:p w14:paraId="2F364D40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513E5A0E" w14:textId="77777777" w:rsidR="000261EB" w:rsidRPr="006A0B18" w:rsidRDefault="000261EB" w:rsidP="000261EB">
      <w:pPr>
        <w:pStyle w:val="02TEXTOPRINCIPALBULLET"/>
        <w:numPr>
          <w:ilvl w:val="0"/>
          <w:numId w:val="7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6733E1">
        <w:rPr>
          <w:rStyle w:val="Textoitlico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6011A1B4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1F754F55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72713AA8" w14:textId="77777777" w:rsidR="000261EB" w:rsidRDefault="000261EB" w:rsidP="000261EB">
      <w:pPr>
        <w:pStyle w:val="01TITULO4"/>
      </w:pPr>
      <w:r>
        <w:t>Álgebra</w:t>
      </w:r>
    </w:p>
    <w:p w14:paraId="7CE42382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57332265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86751C">
        <w:rPr>
          <w:rStyle w:val="Textoitlico"/>
          <w:i w:val="0"/>
        </w:rPr>
        <w:t xml:space="preserve">DINIZ, Maria </w:t>
      </w:r>
      <w:proofErr w:type="spellStart"/>
      <w:r w:rsidRPr="0086751C">
        <w:rPr>
          <w:rStyle w:val="Textoitlico"/>
          <w:i w:val="0"/>
        </w:rPr>
        <w:t>Ignes</w:t>
      </w:r>
      <w:proofErr w:type="spellEnd"/>
      <w:r w:rsidRPr="0086751C">
        <w:rPr>
          <w:rStyle w:val="Textoitlico"/>
          <w:i w:val="0"/>
        </w:rPr>
        <w:t xml:space="preserve">; SOUSA, Eliana </w:t>
      </w:r>
      <w:proofErr w:type="spellStart"/>
      <w:r w:rsidRPr="0086751C">
        <w:rPr>
          <w:rStyle w:val="Textoitlico"/>
          <w:i w:val="0"/>
        </w:rPr>
        <w:t>Reame</w:t>
      </w:r>
      <w:proofErr w:type="spellEnd"/>
      <w:r w:rsidRPr="0086751C">
        <w:rPr>
          <w:rStyle w:val="Textoitlico"/>
          <w:i w:val="0"/>
        </w:rPr>
        <w:t xml:space="preserve"> de.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5FBB5362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307AB683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86751C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6EB8863F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86751C">
        <w:rPr>
          <w:rStyle w:val="Textoitlico"/>
          <w:i w:val="0"/>
        </w:rPr>
        <w:t xml:space="preserve">PINTO, Renata </w:t>
      </w:r>
      <w:proofErr w:type="spellStart"/>
      <w:r w:rsidRPr="0086751C">
        <w:rPr>
          <w:rStyle w:val="Textoitlico"/>
          <w:i w:val="0"/>
        </w:rPr>
        <w:t>Anastacia</w:t>
      </w:r>
      <w:proofErr w:type="spellEnd"/>
      <w:r w:rsidRPr="0086751C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380303BE" w14:textId="77777777" w:rsidR="000261EB" w:rsidRPr="00517A22" w:rsidRDefault="000261EB" w:rsidP="000261EB">
      <w:pPr>
        <w:pStyle w:val="02TEXTOPRINCIPALBULLET"/>
        <w:numPr>
          <w:ilvl w:val="0"/>
          <w:numId w:val="7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66B35661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0905B696" w14:textId="77777777" w:rsidR="000261EB" w:rsidRDefault="000261EB" w:rsidP="000261E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B3A48D2" w14:textId="77777777" w:rsidR="000261EB" w:rsidRDefault="000261EB" w:rsidP="000261EB">
      <w:pPr>
        <w:pStyle w:val="01TITULO4"/>
      </w:pPr>
      <w:r>
        <w:lastRenderedPageBreak/>
        <w:t>Geometria</w:t>
      </w:r>
    </w:p>
    <w:p w14:paraId="46088032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4F2AEB2F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 xml:space="preserve">CAMPOS, Tânia Maria M.; CURI, </w:t>
      </w:r>
      <w:proofErr w:type="spellStart"/>
      <w:r w:rsidRPr="007F08C3">
        <w:rPr>
          <w:rStyle w:val="Textoitlico"/>
          <w:i w:val="0"/>
        </w:rPr>
        <w:t>Edda</w:t>
      </w:r>
      <w:proofErr w:type="spellEnd"/>
      <w:r w:rsidRPr="007F08C3">
        <w:rPr>
          <w:rStyle w:val="Textoitlico"/>
          <w:i w:val="0"/>
        </w:rPr>
        <w:t xml:space="preserve">; PIRES, </w:t>
      </w:r>
      <w:r>
        <w:t>Célia Maria C</w:t>
      </w:r>
      <w:r>
        <w:rPr>
          <w:rStyle w:val="Textoitlico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3C8D4EE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1419C6AC" w14:textId="77777777" w:rsidR="000261EB" w:rsidRPr="003224AB" w:rsidRDefault="000261EB" w:rsidP="000261EB">
      <w:pPr>
        <w:pStyle w:val="02TEXTOPRINCIPALBULLET"/>
        <w:numPr>
          <w:ilvl w:val="0"/>
          <w:numId w:val="7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3BE76F87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38AE6CFA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169791FB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4FC817E2" w14:textId="77777777" w:rsidR="000261EB" w:rsidRDefault="000261EB" w:rsidP="000261EB">
      <w:pPr>
        <w:pStyle w:val="01TITULO4"/>
      </w:pPr>
      <w:r>
        <w:t>Probabilidade e estatística</w:t>
      </w:r>
    </w:p>
    <w:p w14:paraId="4A4920CD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 xml:space="preserve">CAZORLA, Irene Maurício; SANTANA, </w:t>
      </w:r>
      <w:proofErr w:type="spellStart"/>
      <w:r w:rsidRPr="007F08C3">
        <w:rPr>
          <w:rStyle w:val="Textoitlico"/>
          <w:i w:val="0"/>
        </w:rPr>
        <w:t>Eurivalda</w:t>
      </w:r>
      <w:proofErr w:type="spellEnd"/>
      <w:r w:rsidRPr="007F08C3">
        <w:rPr>
          <w:rStyle w:val="Textoitlico"/>
          <w:i w:val="0"/>
        </w:rPr>
        <w:t xml:space="preserve"> dos Santos</w:t>
      </w:r>
      <w:r w:rsidRPr="005563C5">
        <w:rPr>
          <w:rStyle w:val="Textoitlico"/>
        </w:rPr>
        <w:t xml:space="preserve">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727C414B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LANNER, Anna Regina; LOPES</w:t>
      </w:r>
      <w:r>
        <w:rPr>
          <w:rStyle w:val="Textoitlico"/>
        </w:rPr>
        <w:t xml:space="preserve">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(</w:t>
      </w:r>
      <w:proofErr w:type="spellStart"/>
      <w:r>
        <w:rPr>
          <w:rStyle w:val="Textoitlico"/>
        </w:rPr>
        <w:t>Orgs</w:t>
      </w:r>
      <w:proofErr w:type="spellEnd"/>
      <w:r>
        <w:rPr>
          <w:rStyle w:val="Textoitlico"/>
        </w:rPr>
        <w:t xml:space="preserve">).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23E1DEDF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LOPES</w:t>
      </w:r>
      <w:r>
        <w:rPr>
          <w:rStyle w:val="Textoitlico"/>
        </w:rPr>
        <w:t xml:space="preserve">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2B2FD7F8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657D1F75" w14:textId="77777777" w:rsidR="000261EB" w:rsidRDefault="000261EB" w:rsidP="000261EB">
      <w:pPr>
        <w:pStyle w:val="01TITULO4"/>
      </w:pPr>
      <w:r>
        <w:t>Resolução de problemas</w:t>
      </w:r>
    </w:p>
    <w:p w14:paraId="0C2CA798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DANTE, Luiz Roberto.</w:t>
      </w:r>
      <w:r w:rsidRPr="00BE4542">
        <w:rPr>
          <w:rStyle w:val="Textoitlico"/>
        </w:rPr>
        <w:t xml:space="preserve">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28262EC3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 xml:space="preserve">DINIZ, Maria Ignez; SMOLE, Kátia </w:t>
      </w:r>
      <w:proofErr w:type="spellStart"/>
      <w:r w:rsidRPr="007F08C3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5BDCBFB0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3EB29C67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6526F09C" w14:textId="77777777" w:rsidR="000261EB" w:rsidRDefault="000261EB" w:rsidP="000261E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1E97EAB" w14:textId="77777777" w:rsidR="000261EB" w:rsidRDefault="000261EB" w:rsidP="000261EB">
      <w:pPr>
        <w:pStyle w:val="01TITULO4"/>
      </w:pPr>
      <w:r>
        <w:lastRenderedPageBreak/>
        <w:t>Avaliação</w:t>
      </w:r>
    </w:p>
    <w:p w14:paraId="15AD327A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30762952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401BEEB4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CURY, Helena Noronha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0AA146E9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HADJI, Charles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682A121D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HOFFMANN, Jussara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3105C897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45ED0B77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 xml:space="preserve">OLINTO, Neuza </w:t>
      </w:r>
      <w:proofErr w:type="spellStart"/>
      <w:r w:rsidRPr="007F08C3">
        <w:rPr>
          <w:rStyle w:val="Textoitlico"/>
          <w:i w:val="0"/>
        </w:rPr>
        <w:t>Bertoni</w:t>
      </w:r>
      <w:proofErr w:type="spellEnd"/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31DDC06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232BFA87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6936DA38" w14:textId="77777777" w:rsidR="000261EB" w:rsidRDefault="000261EB" w:rsidP="000261EB">
      <w:pPr>
        <w:pStyle w:val="01TITULO4"/>
      </w:pPr>
      <w:r>
        <w:t>Educação Matemática</w:t>
      </w:r>
    </w:p>
    <w:p w14:paraId="785E73A0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5A86C6CC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BA0E9D">
        <w:t>D’AMBROSIO</w:t>
      </w:r>
      <w:r w:rsidRPr="00BA0E9D">
        <w:rPr>
          <w:rStyle w:val="Textoitlico"/>
        </w:rPr>
        <w:t>, Ubiratan.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7F855BBE" w14:textId="77777777" w:rsidR="000261EB" w:rsidRPr="003224A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D’AMORE, Bruno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3A1D8DD9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1AD78132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588419F4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 xml:space="preserve">LOPES, Celi Aparecida </w:t>
      </w:r>
      <w:proofErr w:type="spellStart"/>
      <w:r w:rsidRPr="007F08C3">
        <w:rPr>
          <w:rStyle w:val="Textoitlico"/>
          <w:i w:val="0"/>
        </w:rPr>
        <w:t>Espasandin</w:t>
      </w:r>
      <w:proofErr w:type="spellEnd"/>
      <w:r w:rsidRPr="007F08C3">
        <w:rPr>
          <w:rStyle w:val="Textoitlico"/>
          <w:i w:val="0"/>
        </w:rPr>
        <w:t>; NACARATO, Adair Mendes.</w:t>
      </w:r>
      <w:r>
        <w:rPr>
          <w:rStyle w:val="Textoitlico"/>
        </w:rPr>
        <w:t xml:space="preserve">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5EE487B8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00379522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 xml:space="preserve">LORENZATO, Sérgio.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6F60F36B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7567474E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PARRA, Cecília; SAIZ, Irma (</w:t>
      </w:r>
      <w:proofErr w:type="spellStart"/>
      <w:r w:rsidRPr="007F08C3">
        <w:rPr>
          <w:rStyle w:val="Textoitlico"/>
          <w:i w:val="0"/>
        </w:rPr>
        <w:t>Orgs</w:t>
      </w:r>
      <w:proofErr w:type="spellEnd"/>
      <w:r w:rsidRPr="007F08C3">
        <w:rPr>
          <w:rStyle w:val="Textoitlico"/>
          <w:i w:val="0"/>
        </w:rPr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14:paraId="16277818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0336F4D5" w14:textId="77777777" w:rsidR="000261EB" w:rsidRDefault="000261EB" w:rsidP="000261E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6E5B4720" w14:textId="77777777" w:rsidR="000261EB" w:rsidRDefault="000261EB" w:rsidP="000261EB">
      <w:pPr>
        <w:pStyle w:val="01TITULO4"/>
      </w:pPr>
      <w:r>
        <w:lastRenderedPageBreak/>
        <w:t>História da Matemática</w:t>
      </w:r>
    </w:p>
    <w:p w14:paraId="3EC475DD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BAUMGART, John K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11EA6499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BOYER, Carl B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6821F5BB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79DCF0F4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rPr>
          <w:rStyle w:val="Textoitlico"/>
        </w:rPr>
        <w:t>_______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2C14C1AB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rPr>
          <w:rStyle w:val="Textoitlico"/>
        </w:rPr>
        <w:t>_______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33568ED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1AB3BB02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IFRAH, Georges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7C1A05D4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0D5E8882" w14:textId="77777777" w:rsidR="000261EB" w:rsidRDefault="000261EB" w:rsidP="000261EB">
      <w:pPr>
        <w:pStyle w:val="02TEXTOPRINCIPALBULLET"/>
        <w:numPr>
          <w:ilvl w:val="0"/>
          <w:numId w:val="7"/>
        </w:numPr>
      </w:pPr>
      <w:r w:rsidRPr="007F08C3">
        <w:rPr>
          <w:rStyle w:val="Textoitlico"/>
          <w:i w:val="0"/>
        </w:rPr>
        <w:t>ROQUE, Tatiana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7EA7ABA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017224DB" w14:textId="77777777" w:rsidR="000261EB" w:rsidRDefault="000261EB" w:rsidP="000261EB">
      <w:pPr>
        <w:pStyle w:val="01TITULO4"/>
      </w:pPr>
      <w:r>
        <w:t>Jogos</w:t>
      </w:r>
    </w:p>
    <w:p w14:paraId="12FC95B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7F0945A1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21C13241" w14:textId="77777777" w:rsidR="000261EB" w:rsidRPr="00B9086F" w:rsidRDefault="000261EB" w:rsidP="000261EB">
      <w:pPr>
        <w:pStyle w:val="02TEXTOPRINCIPALBULLET"/>
        <w:numPr>
          <w:ilvl w:val="0"/>
          <w:numId w:val="7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0BB1B41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3B57A7D5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2CCE746A" w14:textId="77777777" w:rsidR="000261EB" w:rsidRDefault="000261EB" w:rsidP="000261EB">
      <w:pPr>
        <w:pStyle w:val="01TITULO4"/>
      </w:pPr>
      <w:r>
        <w:t>Matemática e temas transversais</w:t>
      </w:r>
    </w:p>
    <w:p w14:paraId="0754DEC7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5DF32AB8" w14:textId="77777777" w:rsidR="000261EB" w:rsidRPr="003224AB" w:rsidRDefault="000261EB" w:rsidP="000261EB">
      <w:pPr>
        <w:pStyle w:val="02TEXTOPRINCIPALBULLET"/>
        <w:numPr>
          <w:ilvl w:val="0"/>
          <w:numId w:val="7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54BAB80C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1A339115" w14:textId="77777777" w:rsidR="000261EB" w:rsidRDefault="000261EB" w:rsidP="000261E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7519B9C" w14:textId="77777777" w:rsidR="000261EB" w:rsidRDefault="000261EB" w:rsidP="000261EB">
      <w:pPr>
        <w:pStyle w:val="01TITULO4"/>
      </w:pPr>
      <w:r>
        <w:lastRenderedPageBreak/>
        <w:t>Tecnologia</w:t>
      </w:r>
    </w:p>
    <w:p w14:paraId="20CB865E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3AEE7DB2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6A58DC52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14:paraId="6E091AA4" w14:textId="77777777" w:rsidR="000261EB" w:rsidRPr="006A0B18" w:rsidRDefault="000261EB" w:rsidP="000261EB">
      <w:pPr>
        <w:pStyle w:val="02TEXTOPRINCIPALBULLET"/>
        <w:numPr>
          <w:ilvl w:val="0"/>
          <w:numId w:val="7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6E4FF226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0C097D4A" w14:textId="77777777" w:rsidR="000261EB" w:rsidRPr="009B7568" w:rsidRDefault="000261EB" w:rsidP="000261EB">
      <w:pPr>
        <w:pStyle w:val="02TEXTOPRINCIPALBULLET"/>
        <w:numPr>
          <w:ilvl w:val="0"/>
          <w:numId w:val="7"/>
        </w:numPr>
        <w:rPr>
          <w:b/>
        </w:rPr>
      </w:pPr>
      <w:r w:rsidRPr="007F08C3">
        <w:rPr>
          <w:rStyle w:val="Textoitlico"/>
          <w:i w:val="0"/>
        </w:rPr>
        <w:t>RUBIO, Juliana de Alcântara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63183F7F" w14:textId="77777777" w:rsidR="000261EB" w:rsidRDefault="000261EB" w:rsidP="000261EB">
      <w:pPr>
        <w:pStyle w:val="02TEXTOPRINCIPALBULLET"/>
        <w:numPr>
          <w:ilvl w:val="0"/>
          <w:numId w:val="7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3448CD25" w14:textId="77777777" w:rsidR="000261EB" w:rsidRDefault="000261EB" w:rsidP="000261EB">
      <w:pPr>
        <w:pStyle w:val="01TITULO3"/>
      </w:pPr>
      <w:r>
        <w:t>Revistas</w:t>
      </w:r>
    </w:p>
    <w:p w14:paraId="3D8312B1" w14:textId="77777777" w:rsidR="001D4247" w:rsidRDefault="001D4247" w:rsidP="001D4247">
      <w:pPr>
        <w:pStyle w:val="02TEXTOPRINCIPALBULLET"/>
        <w:numPr>
          <w:ilvl w:val="0"/>
          <w:numId w:val="7"/>
        </w:numPr>
      </w:pPr>
      <w:bookmarkStart w:id="7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6870F381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14:paraId="503A8895" w14:textId="77777777" w:rsidR="001D4247" w:rsidRPr="00895F3A" w:rsidRDefault="001D4247" w:rsidP="001D4247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7096AB78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14:paraId="5F3D17A6" w14:textId="77777777" w:rsidR="001D4247" w:rsidRPr="00895F3A" w:rsidRDefault="001D4247" w:rsidP="001D4247">
      <w:pPr>
        <w:pStyle w:val="02TEXTOPRINCIPALBULLET"/>
        <w:numPr>
          <w:ilvl w:val="0"/>
          <w:numId w:val="7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45C11B4A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1C40B383" w14:textId="77777777" w:rsidR="001D4247" w:rsidRPr="00895F3A" w:rsidRDefault="001D4247" w:rsidP="001D4247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Jornal do professor de Matemática</w:t>
      </w:r>
    </w:p>
    <w:p w14:paraId="793362F5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14:paraId="43683DF3" w14:textId="77777777" w:rsidR="001D4247" w:rsidRDefault="001D4247" w:rsidP="001D4247">
      <w:pPr>
        <w:pStyle w:val="02TEXTOPRINCIPALBULLET"/>
        <w:numPr>
          <w:ilvl w:val="0"/>
          <w:numId w:val="7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111D7151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14:paraId="3190E254" w14:textId="77777777" w:rsidR="001D4247" w:rsidRDefault="001D4247" w:rsidP="001D4247">
      <w:pPr>
        <w:pStyle w:val="02TEXTOPRINCIPALBULLET"/>
        <w:numPr>
          <w:ilvl w:val="0"/>
          <w:numId w:val="7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1E47894F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14:paraId="396B588B" w14:textId="77777777" w:rsidR="001D4247" w:rsidRPr="00895F3A" w:rsidRDefault="001D4247" w:rsidP="001D4247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Revista do professor de Matemática</w:t>
      </w:r>
    </w:p>
    <w:p w14:paraId="663092DA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14:paraId="707EA489" w14:textId="77777777" w:rsidR="001D4247" w:rsidRPr="00895F3A" w:rsidRDefault="001D4247" w:rsidP="001D4247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457B18D3" w14:textId="77777777" w:rsidR="001D4247" w:rsidRDefault="001D4247" w:rsidP="001D4247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7"/>
    <w:p w14:paraId="248F7369" w14:textId="77777777" w:rsidR="000261EB" w:rsidRDefault="000261EB" w:rsidP="000261E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2E4B45C2" w14:textId="77777777" w:rsidR="000261EB" w:rsidRPr="00513C3A" w:rsidRDefault="000261EB" w:rsidP="000261EB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1A10E098" w14:textId="77777777" w:rsidR="001D4247" w:rsidRDefault="001D4247" w:rsidP="001D4247">
      <w:pPr>
        <w:pStyle w:val="02TEXTOPRINCIPALBULLET"/>
        <w:numPr>
          <w:ilvl w:val="0"/>
          <w:numId w:val="7"/>
        </w:numPr>
      </w:pPr>
      <w:bookmarkStart w:id="8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1484E1D1" w14:textId="77777777" w:rsidR="001D4247" w:rsidRPr="003511C7" w:rsidRDefault="001D4247" w:rsidP="001D4247">
      <w:pPr>
        <w:pStyle w:val="02TEXTOPRINCIPALBULLET"/>
        <w:numPr>
          <w:ilvl w:val="0"/>
          <w:numId w:val="7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8"/>
    <w:p w14:paraId="1395CDAB" w14:textId="77777777" w:rsidR="000261EB" w:rsidRPr="00456482" w:rsidRDefault="000261EB" w:rsidP="000261EB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3ECD5A4A" w14:textId="5569D0FE" w:rsidR="007E49B6" w:rsidRPr="00CA72E5" w:rsidRDefault="007E49B6" w:rsidP="00122D7D">
      <w:pPr>
        <w:pStyle w:val="01TITULO2"/>
      </w:pPr>
      <w:r w:rsidRPr="00122D7D">
        <w:t>Orientações adicionais</w:t>
      </w:r>
      <w:r w:rsidRPr="00CA72E5">
        <w:t xml:space="preserve"> </w:t>
      </w:r>
    </w:p>
    <w:p w14:paraId="406534A9" w14:textId="19D994D9" w:rsidR="00FB6450" w:rsidRPr="00EA35B2" w:rsidRDefault="0061182A" w:rsidP="00122D7D">
      <w:pPr>
        <w:pStyle w:val="02TEXTOPRINCIPAL"/>
        <w:ind w:firstLine="708"/>
      </w:pPr>
      <w:r w:rsidRPr="00D0709F">
        <w:t xml:space="preserve">O primeiro bimestre do </w:t>
      </w:r>
      <w:r>
        <w:t>7</w:t>
      </w:r>
      <w:r w:rsidRPr="00D0709F">
        <w:t>º ano t</w:t>
      </w:r>
      <w:r w:rsidR="000C6149">
        <w:t>rata</w:t>
      </w:r>
      <w:r w:rsidRPr="00D0709F">
        <w:t xml:space="preserve"> </w:t>
      </w:r>
      <w:r w:rsidR="000C6149">
        <w:t>d</w:t>
      </w:r>
      <w:r w:rsidRPr="00D0709F">
        <w:t xml:space="preserve">as </w:t>
      </w:r>
      <w:r w:rsidRPr="00122D7D">
        <w:t xml:space="preserve">Unidades </w:t>
      </w:r>
      <w:r w:rsidR="003C5F93">
        <w:t>T</w:t>
      </w:r>
      <w:r w:rsidRPr="00122D7D">
        <w:t>emáticas</w:t>
      </w:r>
      <w:r w:rsidRPr="00D0709F">
        <w:rPr>
          <w:b/>
        </w:rPr>
        <w:t xml:space="preserve"> </w:t>
      </w:r>
      <w:r w:rsidRPr="00122D7D">
        <w:rPr>
          <w:rStyle w:val="TextoBold"/>
        </w:rPr>
        <w:t>Números</w:t>
      </w:r>
      <w:r w:rsidRPr="00D0709F">
        <w:rPr>
          <w:b/>
        </w:rPr>
        <w:t xml:space="preserve"> </w:t>
      </w:r>
      <w:r w:rsidRPr="0061182A">
        <w:t>e</w:t>
      </w:r>
      <w:r w:rsidRPr="00D0709F">
        <w:rPr>
          <w:b/>
        </w:rPr>
        <w:t xml:space="preserve"> </w:t>
      </w:r>
      <w:r w:rsidRPr="00122D7D">
        <w:rPr>
          <w:rStyle w:val="TextoBold"/>
        </w:rPr>
        <w:t>Probabilidade</w:t>
      </w:r>
      <w:r>
        <w:rPr>
          <w:b/>
        </w:rPr>
        <w:t xml:space="preserve"> e </w:t>
      </w:r>
      <w:r w:rsidRPr="00122D7D">
        <w:rPr>
          <w:rStyle w:val="TextoBold"/>
        </w:rPr>
        <w:t>estatística</w:t>
      </w:r>
      <w:r>
        <w:t>, com ênfase na primeira</w:t>
      </w:r>
      <w:r w:rsidRPr="00D0709F">
        <w:t xml:space="preserve">. </w:t>
      </w:r>
      <w:r w:rsidR="00EA35B2">
        <w:t>Nela</w:t>
      </w:r>
      <w:r w:rsidR="000C6149" w:rsidRPr="000C6149">
        <w:t>, a abordagem</w:t>
      </w:r>
      <w:r w:rsidRPr="00D0709F">
        <w:t xml:space="preserve"> numéric</w:t>
      </w:r>
      <w:r w:rsidR="000C6149">
        <w:t xml:space="preserve">a segue o desenvolvimento cronológico da </w:t>
      </w:r>
      <w:r w:rsidR="00EA35B2">
        <w:t>h</w:t>
      </w:r>
      <w:r w:rsidR="000C6149">
        <w:t xml:space="preserve">istória da Matemática: inicia com os </w:t>
      </w:r>
      <w:r w:rsidR="00503A0E">
        <w:t>n</w:t>
      </w:r>
      <w:r w:rsidR="000C6149">
        <w:t>úmeros inteiros e retoma os números racionais</w:t>
      </w:r>
      <w:r w:rsidR="00503A0E">
        <w:t xml:space="preserve"> absolutos</w:t>
      </w:r>
      <w:r w:rsidR="000C6149">
        <w:t xml:space="preserve">, agora com </w:t>
      </w:r>
      <w:r w:rsidR="00503A0E">
        <w:t>sinais</w:t>
      </w:r>
      <w:r w:rsidR="000C6149">
        <w:t xml:space="preserve">, configurando o conjunto dos </w:t>
      </w:r>
      <w:r w:rsidR="00503A0E">
        <w:t xml:space="preserve">números racionais. A retomada das operações também deve fazer um </w:t>
      </w:r>
      <w:r w:rsidR="00503A0E" w:rsidRPr="00EA35B2">
        <w:t xml:space="preserve">paralelo entre </w:t>
      </w:r>
      <w:r w:rsidR="00EA35B2" w:rsidRPr="00EA35B2">
        <w:t>elas e</w:t>
      </w:r>
      <w:r w:rsidR="00503A0E" w:rsidRPr="00EA35B2">
        <w:t xml:space="preserve"> os números racionais absolutos, com destaque para a introdução dos sinais.</w:t>
      </w:r>
    </w:p>
    <w:p w14:paraId="6D5825CA" w14:textId="7DE40830" w:rsidR="00397C7B" w:rsidRDefault="00FC6EC7" w:rsidP="00122D7D">
      <w:pPr>
        <w:pStyle w:val="02TEXTOPRINCIPAL"/>
        <w:ind w:firstLine="708"/>
      </w:pPr>
      <w:r>
        <w:t>N</w:t>
      </w:r>
      <w:r w:rsidR="00397C7B">
        <w:t>a abordagem de novos conjuntos numéricos</w:t>
      </w:r>
      <w:r>
        <w:t>,</w:t>
      </w:r>
      <w:r w:rsidR="00397C7B">
        <w:t xml:space="preserve"> </w:t>
      </w:r>
      <w:r>
        <w:t xml:space="preserve">geralmente </w:t>
      </w:r>
      <w:r w:rsidR="00397C7B">
        <w:t xml:space="preserve">há ênfase na apresentação dos novos elementos em relação aos </w:t>
      </w:r>
      <w:r w:rsidR="0091242F">
        <w:t xml:space="preserve">elementos do(s) </w:t>
      </w:r>
      <w:r w:rsidR="00397C7B">
        <w:t>conjunto(s</w:t>
      </w:r>
      <w:r>
        <w:t>)</w:t>
      </w:r>
      <w:r w:rsidR="00397C7B">
        <w:t xml:space="preserve"> já estudado(s</w:t>
      </w:r>
      <w:r>
        <w:t>). Por isso, convém lembrar aos alunos que há uma relação de inclusão entre esses conjuntos (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⊂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⊂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), ou seja, deve ser observado que todo número natural também é um número inteiro e racional</w:t>
      </w:r>
      <w:r w:rsidR="0091242F">
        <w:rPr>
          <w:rFonts w:eastAsiaTheme="minorEastAsia"/>
        </w:rPr>
        <w:t xml:space="preserve"> e que todo número inteiro também é um número racional</w:t>
      </w:r>
      <w:r>
        <w:rPr>
          <w:rFonts w:eastAsiaTheme="minorEastAsia"/>
        </w:rPr>
        <w:t>.</w:t>
      </w:r>
    </w:p>
    <w:p w14:paraId="1BBB710D" w14:textId="469C6483" w:rsidR="00122D7D" w:rsidRDefault="00FC6EC7" w:rsidP="00122D7D">
      <w:pPr>
        <w:pStyle w:val="02TEXTOPRINCIPAL"/>
        <w:ind w:firstLine="708"/>
      </w:pPr>
      <w:r>
        <w:t xml:space="preserve">A pesquisa matemática deve ser sempre </w:t>
      </w:r>
      <w:r w:rsidR="00EA35B2">
        <w:t>incentivada. Por exemplo, proponha</w:t>
      </w:r>
      <w:r>
        <w:t xml:space="preserve"> aos alunos a comparação entre o produto</w:t>
      </w:r>
      <w:r w:rsidR="00DB4B50">
        <w:t xml:space="preserve"> </w:t>
      </w:r>
      <w:r>
        <w:t xml:space="preserve">de dois números naturais </w:t>
      </w:r>
      <w:r w:rsidR="00DB4B50">
        <w:t xml:space="preserve">e o produto entre o </w:t>
      </w:r>
      <w:proofErr w:type="spellStart"/>
      <w:r w:rsidR="00DB4B50">
        <w:t>mdc</w:t>
      </w:r>
      <w:proofErr w:type="spellEnd"/>
      <w:r w:rsidR="00DB4B50">
        <w:t xml:space="preserve"> e o </w:t>
      </w:r>
      <w:proofErr w:type="spellStart"/>
      <w:r w:rsidR="00DB4B50">
        <w:t>mmc</w:t>
      </w:r>
      <w:proofErr w:type="spellEnd"/>
      <w:r w:rsidR="00DB4B50">
        <w:t xml:space="preserve"> desses números. O</w:t>
      </w:r>
      <w:r w:rsidR="00EA35B2">
        <w:t>s</w:t>
      </w:r>
      <w:r w:rsidR="00DB4B50">
        <w:t xml:space="preserve"> aluno</w:t>
      </w:r>
      <w:r w:rsidR="00EA35B2">
        <w:t>s</w:t>
      </w:r>
      <w:r w:rsidR="00DB4B50">
        <w:t xml:space="preserve"> deve</w:t>
      </w:r>
      <w:r w:rsidR="00EA35B2">
        <w:t>m</w:t>
      </w:r>
      <w:r w:rsidR="00DB4B50">
        <w:t xml:space="preserve"> concluir pela igualdade desses produtos.</w:t>
      </w:r>
      <w:r>
        <w:t xml:space="preserve"> </w:t>
      </w:r>
    </w:p>
    <w:p w14:paraId="53610F06" w14:textId="77777777" w:rsidR="00122D7D" w:rsidRPr="00122D7D" w:rsidRDefault="00122D7D" w:rsidP="00122D7D">
      <w:pPr>
        <w:pStyle w:val="02TEXTOPRINCIPAL"/>
        <w:ind w:firstLine="708"/>
      </w:pPr>
    </w:p>
    <w:p w14:paraId="47BDF63B" w14:textId="26A4CF8F" w:rsidR="00F63457" w:rsidRPr="00CA72E5" w:rsidRDefault="00F63457" w:rsidP="00122D7D">
      <w:pPr>
        <w:pStyle w:val="01TITULO2"/>
      </w:pPr>
      <w:r w:rsidRPr="00122D7D">
        <w:t>Gestão da sala de aula</w:t>
      </w:r>
    </w:p>
    <w:p w14:paraId="30968ECD" w14:textId="77777777" w:rsidR="00D97A3C" w:rsidRPr="00E15397" w:rsidRDefault="00D97A3C" w:rsidP="00D97A3C">
      <w:pPr>
        <w:pStyle w:val="02TEXTOPRINCIPAL"/>
        <w:ind w:firstLine="708"/>
      </w:pPr>
      <w:r>
        <w:t>Além de orientações em relação à</w:t>
      </w:r>
      <w:r w:rsidRPr="00E15397">
        <w:t xml:space="preserve"> forma de apresentação e disposição do ambiente e dos estudantes, passando pela organização do tempo</w:t>
      </w:r>
      <w:r>
        <w:t xml:space="preserve"> e pela</w:t>
      </w:r>
      <w:r w:rsidRPr="00E15397">
        <w:t xml:space="preserve"> antecipação de situações que podem surgir ao lo</w:t>
      </w:r>
      <w:r>
        <w:t xml:space="preserve">ngo da aula, a gestão engloba a prontidão em utilizar os meios </w:t>
      </w:r>
      <w:r w:rsidRPr="00E15397">
        <w:t>disponíveis para alcançar o objetivo de desenvolvimento de determinadas habilidades</w:t>
      </w:r>
      <w:r>
        <w:t>. O exemplo a seguir</w:t>
      </w:r>
      <w:r w:rsidRPr="00E15397">
        <w:t xml:space="preserve"> destaca a gestão do tempo, do espaço, da organização dos alunos, da educação inclusiva e das reações familiares</w:t>
      </w:r>
      <w:r>
        <w:t>.</w:t>
      </w:r>
      <w:r w:rsidRPr="00E15397">
        <w:t xml:space="preserve"> </w:t>
      </w:r>
    </w:p>
    <w:p w14:paraId="1AF11BA7" w14:textId="77777777" w:rsidR="00D97A3C" w:rsidRDefault="00D97A3C" w:rsidP="00D97A3C">
      <w:pPr>
        <w:pStyle w:val="02TEXTOPRINCIPAL"/>
        <w:ind w:firstLine="708"/>
      </w:pPr>
      <w:r w:rsidRPr="00D0709F">
        <w:t xml:space="preserve">O planejamento do </w:t>
      </w:r>
      <w:r w:rsidRPr="00D0709F">
        <w:rPr>
          <w:b/>
        </w:rPr>
        <w:t xml:space="preserve">tempo </w:t>
      </w:r>
      <w:r w:rsidRPr="00D0709F">
        <w:t xml:space="preserve">das atividades, da </w:t>
      </w:r>
      <w:r w:rsidRPr="00D0709F">
        <w:rPr>
          <w:b/>
        </w:rPr>
        <w:t>ocupação do espaço</w:t>
      </w:r>
      <w:r w:rsidRPr="00D0709F">
        <w:t xml:space="preserve">, dos </w:t>
      </w:r>
      <w:r w:rsidRPr="00D0709F">
        <w:rPr>
          <w:b/>
        </w:rPr>
        <w:t>recursos didáticos</w:t>
      </w:r>
      <w:r w:rsidRPr="00D0709F">
        <w:t xml:space="preserve"> reduz a improvisação e é fator relevante para a boa gestão da aula. </w:t>
      </w:r>
      <w:r w:rsidRPr="00F453EE">
        <w:t>Defina</w:t>
      </w:r>
      <w:r w:rsidRPr="00D0709F">
        <w:t xml:space="preserve"> claramente com os alunos as atividades a serem realizadas, estabeleça a organização da turma e disponibilize os recursos materiais adequados para cada situação. </w:t>
      </w:r>
    </w:p>
    <w:p w14:paraId="2EBE8C97" w14:textId="77777777" w:rsidR="00D97A3C" w:rsidRPr="00D0709F" w:rsidRDefault="00D97A3C" w:rsidP="00D97A3C">
      <w:pPr>
        <w:pStyle w:val="02TEXTOPRINCIPAL"/>
        <w:ind w:firstLine="708"/>
      </w:pPr>
      <w:r w:rsidRPr="00F453EE">
        <w:t xml:space="preserve">Lembre-se </w:t>
      </w:r>
      <w:r>
        <w:t xml:space="preserve">de </w:t>
      </w:r>
      <w:r w:rsidRPr="00D0709F">
        <w:t>que a simples disposição das carteiras pode facilitar o trabalho em grupo, o diálogo e a cooperação</w:t>
      </w:r>
      <w:r>
        <w:t xml:space="preserve">, o que favorece a realização de </w:t>
      </w:r>
      <w:r w:rsidRPr="00D0709F">
        <w:t xml:space="preserve">cada estratégia </w:t>
      </w:r>
      <w:r>
        <w:t>por meio de</w:t>
      </w:r>
      <w:r w:rsidRPr="00D0709F">
        <w:t xml:space="preserve"> dinâmicas diferentes. Por exemplo, leituras podem ser individuais ou compartilhadas, pesquisas</w:t>
      </w:r>
      <w:r>
        <w:t xml:space="preserve"> e</w:t>
      </w:r>
      <w:r w:rsidRPr="00D0709F">
        <w:t xml:space="preserve"> trabalhos com construção de modelos podem ser realizad</w:t>
      </w:r>
      <w:r>
        <w:t>o</w:t>
      </w:r>
      <w:r w:rsidRPr="00D0709F">
        <w:t xml:space="preserve">s </w:t>
      </w:r>
      <w:r>
        <w:t xml:space="preserve">individualmente </w:t>
      </w:r>
      <w:r w:rsidRPr="00D0709F">
        <w:t xml:space="preserve">ou </w:t>
      </w:r>
      <w:r>
        <w:t xml:space="preserve">em </w:t>
      </w:r>
      <w:r w:rsidRPr="00D0709F">
        <w:t>grupos, discussões de situações problema podem ser coletiv</w:t>
      </w:r>
      <w:r>
        <w:t>as ou em grupos menores</w:t>
      </w:r>
      <w:r w:rsidRPr="00D0709F">
        <w:t xml:space="preserve">.  </w:t>
      </w:r>
    </w:p>
    <w:p w14:paraId="5F245C2A" w14:textId="77777777" w:rsidR="00D97A3C" w:rsidRPr="00D0709F" w:rsidRDefault="00D97A3C" w:rsidP="00D97A3C">
      <w:pPr>
        <w:pStyle w:val="02TEXTOPRINCIPAL"/>
        <w:ind w:firstLine="708"/>
      </w:pPr>
      <w:r w:rsidRPr="00D0709F">
        <w:t xml:space="preserve">É preciso considerar, também, a possibilidade de </w:t>
      </w:r>
      <w:r w:rsidRPr="00B86052">
        <w:rPr>
          <w:b/>
        </w:rPr>
        <w:t>os</w:t>
      </w:r>
      <w:r w:rsidRPr="00D0709F">
        <w:t xml:space="preserve"> </w:t>
      </w:r>
      <w:r w:rsidRPr="00E15397">
        <w:rPr>
          <w:b/>
        </w:rPr>
        <w:t>alunos assumirem a responsabilidade</w:t>
      </w:r>
      <w:r w:rsidRPr="00D0709F">
        <w:t xml:space="preserve"> pela disposição, ordem e limpeza da </w:t>
      </w:r>
      <w:r>
        <w:t>sala</w:t>
      </w:r>
      <w:r w:rsidRPr="00D0709F">
        <w:t xml:space="preserve">, bem como pela organização de murais para exposição de trabalhos, jornais, programação cultural. </w:t>
      </w:r>
    </w:p>
    <w:p w14:paraId="667B54CB" w14:textId="77777777" w:rsidR="00D97A3C" w:rsidRDefault="00D97A3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0F092E6" w14:textId="65D2E3D5" w:rsidR="00D97A3C" w:rsidRPr="00D0709F" w:rsidRDefault="00D97A3C" w:rsidP="00D97A3C">
      <w:pPr>
        <w:pStyle w:val="02TEXTOPRINCIPAL"/>
        <w:ind w:firstLine="708"/>
      </w:pPr>
      <w:r w:rsidRPr="00D0709F">
        <w:lastRenderedPageBreak/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14:paraId="282AFC9D" w14:textId="2EFE1E08" w:rsidR="00122D7D" w:rsidRDefault="00D97A3C" w:rsidP="00D97A3C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2470D799" w14:textId="77777777" w:rsidR="00D97A3C" w:rsidRDefault="00D97A3C" w:rsidP="00D97A3C">
      <w:pPr>
        <w:pStyle w:val="02TEXTOPRINCIPAL"/>
        <w:ind w:firstLine="708"/>
        <w:rPr>
          <w:rFonts w:cstheme="minorHAnsi"/>
          <w:b/>
          <w:sz w:val="28"/>
          <w:szCs w:val="28"/>
          <w:highlight w:val="magenta"/>
          <w:u w:val="single"/>
        </w:rPr>
      </w:pPr>
    </w:p>
    <w:p w14:paraId="7496D18C" w14:textId="105BADE6" w:rsidR="00685123" w:rsidRPr="00FF3B86" w:rsidRDefault="00685123" w:rsidP="00FF3B86">
      <w:pPr>
        <w:pStyle w:val="01TITULO2"/>
      </w:pPr>
      <w:r w:rsidRPr="00FF3B86">
        <w:t>Acompanhamento dos alunos</w:t>
      </w:r>
    </w:p>
    <w:p w14:paraId="5FD42DB0" w14:textId="77777777" w:rsidR="002462E6" w:rsidRDefault="002462E6" w:rsidP="002462E6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14:paraId="69E9ADD3" w14:textId="77777777" w:rsidR="002462E6" w:rsidRDefault="002462E6" w:rsidP="002462E6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propostas atividades extras</w:t>
      </w:r>
      <w:r>
        <w:rPr>
          <w:b/>
        </w:rPr>
        <w:t xml:space="preserve"> e diversificadas</w:t>
      </w:r>
      <w:r>
        <w:t xml:space="preserve"> que contribuam com as aprendizagens. </w:t>
      </w:r>
    </w:p>
    <w:p w14:paraId="0D67AF63" w14:textId="5557E0D5" w:rsidR="0045607F" w:rsidRDefault="00CF39BF" w:rsidP="00FF3B86">
      <w:pPr>
        <w:pStyle w:val="02TEXTOPRINCIPAL"/>
        <w:ind w:firstLine="708"/>
      </w:pPr>
      <w:r>
        <w:t xml:space="preserve">A utilização de jogos como o </w:t>
      </w:r>
      <w:r w:rsidRPr="00B328EA">
        <w:rPr>
          <w:i/>
        </w:rPr>
        <w:t>Menos mil</w:t>
      </w:r>
      <w:r>
        <w:t xml:space="preserve"> (proposto na </w:t>
      </w:r>
      <w:r w:rsidRPr="00CF39BF">
        <w:t xml:space="preserve">página </w:t>
      </w:r>
      <w:r>
        <w:t>45</w:t>
      </w:r>
      <w:r w:rsidRPr="00CF39BF">
        <w:t xml:space="preserve"> do</w:t>
      </w:r>
      <w:r w:rsidRPr="00CD133D">
        <w:rPr>
          <w:sz w:val="20"/>
          <w:szCs w:val="20"/>
        </w:rPr>
        <w:t xml:space="preserve"> </w:t>
      </w:r>
      <w:r w:rsidRPr="002B0288">
        <w:t xml:space="preserve">livro </w:t>
      </w:r>
      <w:r>
        <w:t xml:space="preserve">do estudante, seção </w:t>
      </w:r>
      <w:r w:rsidRPr="00CF39BF">
        <w:t>Diversificando)</w:t>
      </w:r>
      <w:r>
        <w:t xml:space="preserve"> promove a integração e a sociabilização dos alunos. </w:t>
      </w:r>
      <w:r w:rsidR="0045607F" w:rsidRPr="002B0288">
        <w:rPr>
          <w:shd w:val="clear" w:color="auto" w:fill="FFFFFF"/>
        </w:rPr>
        <w:t xml:space="preserve">Jogos como </w:t>
      </w:r>
      <w:r>
        <w:rPr>
          <w:shd w:val="clear" w:color="auto" w:fill="FFFFFF"/>
        </w:rPr>
        <w:t xml:space="preserve">a </w:t>
      </w:r>
      <w:r>
        <w:rPr>
          <w:i/>
          <w:shd w:val="clear" w:color="auto" w:fill="FFFFFF"/>
        </w:rPr>
        <w:t xml:space="preserve">Corrida dos números primos </w:t>
      </w:r>
      <w:r>
        <w:rPr>
          <w:shd w:val="clear" w:color="auto" w:fill="FFFFFF"/>
        </w:rPr>
        <w:t>(página 64</w:t>
      </w:r>
      <w:r w:rsidRPr="00CF39BF">
        <w:t xml:space="preserve"> </w:t>
      </w:r>
      <w:r w:rsidRPr="002B0288">
        <w:t xml:space="preserve">do livro </w:t>
      </w:r>
      <w:r w:rsidRPr="00CF39BF">
        <w:t>do estudante</w:t>
      </w:r>
      <w:r>
        <w:rPr>
          <w:shd w:val="clear" w:color="auto" w:fill="FFFFFF"/>
        </w:rPr>
        <w:t xml:space="preserve">, seção </w:t>
      </w:r>
      <w:r w:rsidR="0045607F" w:rsidRPr="00CF39BF">
        <w:t>Diversificando</w:t>
      </w:r>
      <w:r>
        <w:t>)</w:t>
      </w:r>
      <w:r w:rsidR="0045607F" w:rsidRPr="002B0288">
        <w:t xml:space="preserve"> podem ser usados para </w:t>
      </w:r>
      <w:proofErr w:type="spellStart"/>
      <w:r w:rsidR="0045607F" w:rsidRPr="002B0288">
        <w:t>autoavaliação</w:t>
      </w:r>
      <w:proofErr w:type="spellEnd"/>
      <w:r w:rsidR="0045607F" w:rsidRPr="002B0288">
        <w:t xml:space="preserve">. </w:t>
      </w:r>
    </w:p>
    <w:p w14:paraId="0E16FDCD" w14:textId="77777777" w:rsidR="00CF39BF" w:rsidRPr="002B0288" w:rsidRDefault="00CF39BF" w:rsidP="00FF3B86">
      <w:pPr>
        <w:pStyle w:val="02TEXTOPRINCIPAL"/>
        <w:ind w:firstLine="708"/>
      </w:pPr>
    </w:p>
    <w:p w14:paraId="50BA1726" w14:textId="77777777" w:rsidR="00CF39BF" w:rsidRPr="00506EBE" w:rsidRDefault="00CF39BF" w:rsidP="00CF39BF">
      <w:pPr>
        <w:pStyle w:val="01TITULO2"/>
      </w:pPr>
      <w:r>
        <w:t>Habilidades essenciais para a continuidade dos estudos</w:t>
      </w:r>
    </w:p>
    <w:p w14:paraId="373045A4" w14:textId="77777777" w:rsidR="00CF39BF" w:rsidRDefault="00CF39BF" w:rsidP="00CF39BF">
      <w:pPr>
        <w:pStyle w:val="02TEXTOPRINCIPAL"/>
        <w:ind w:firstLine="708"/>
      </w:pPr>
      <w:r w:rsidRPr="0082356C">
        <w:t xml:space="preserve">Para avançar na aprendizagem e aprimorar os conhecimentos no próximo bimestre, é essencial que os alunos tenham desenvolvido as habilidades descritas a seguir. </w:t>
      </w:r>
    </w:p>
    <w:p w14:paraId="69DB238E" w14:textId="68FCEE09" w:rsidR="00924E80" w:rsidRPr="00924E80" w:rsidRDefault="00924E80" w:rsidP="00924E80">
      <w:pPr>
        <w:pStyle w:val="02TEXTOPRINCIPALBULLET"/>
      </w:pPr>
      <w:r w:rsidRPr="00924E80">
        <w:t>Reconhecer, para a compreensão da dimensão histórica e para a resolução de problemas em situações do cotidiano, a necessidade da aplicação dos números inteiros e, ampliando, dos números racionais efetuando as operações de adição, subtração, multiplicação, divisão, potenciação e radiciação.</w:t>
      </w:r>
    </w:p>
    <w:p w14:paraId="16EFF4E7" w14:textId="40458307" w:rsidR="00924E80" w:rsidRPr="00924E80" w:rsidRDefault="00924E80" w:rsidP="00924E80">
      <w:pPr>
        <w:pStyle w:val="02TEXTOPRINCIPALBULLET"/>
      </w:pPr>
      <w:r>
        <w:t>C</w:t>
      </w:r>
      <w:r w:rsidRPr="00924E80">
        <w:t>omparação, ordenação e representação dos números racionais na reta numérica</w:t>
      </w:r>
      <w:r>
        <w:t>, o que se</w:t>
      </w:r>
      <w:r w:rsidRPr="00924E80">
        <w:t xml:space="preserve"> faz</w:t>
      </w:r>
      <w:r>
        <w:t xml:space="preserve"> necessário</w:t>
      </w:r>
      <w:r w:rsidR="00C56FD0">
        <w:t>,</w:t>
      </w:r>
      <w:r>
        <w:t xml:space="preserve"> pois possibilitará, em estudos futuros,</w:t>
      </w:r>
      <w:r w:rsidRPr="00924E80">
        <w:t xml:space="preserve"> a compreensão da relação entre os pontos do plano cartesiano e as coordenadas. </w:t>
      </w:r>
    </w:p>
    <w:p w14:paraId="0E92EE21" w14:textId="380EDBFD" w:rsidR="00924E80" w:rsidRPr="00924E80" w:rsidRDefault="00D80928" w:rsidP="00924E80">
      <w:pPr>
        <w:pStyle w:val="02TEXTOPRINCIPALBULLET"/>
      </w:pPr>
      <w:r>
        <w:t>U</w:t>
      </w:r>
      <w:r w:rsidR="00924E80" w:rsidRPr="00924E80">
        <w:t>so adequado das propriedades operatórias</w:t>
      </w:r>
      <w:r>
        <w:t>, que</w:t>
      </w:r>
      <w:r w:rsidR="00924E80" w:rsidRPr="00924E80">
        <w:t xml:space="preserve"> instrumentaliza o</w:t>
      </w:r>
      <w:r>
        <w:t>s</w:t>
      </w:r>
      <w:r w:rsidR="00924E80" w:rsidRPr="00924E80">
        <w:t xml:space="preserve"> aluno</w:t>
      </w:r>
      <w:r>
        <w:t>s</w:t>
      </w:r>
      <w:r w:rsidR="00924E80" w:rsidRPr="00924E80">
        <w:t xml:space="preserve"> no cálculo mental, além de articular as Unidades Temáticas </w:t>
      </w:r>
      <w:r w:rsidR="00924E80" w:rsidRPr="00D80928">
        <w:rPr>
          <w:rStyle w:val="TextoBold"/>
        </w:rPr>
        <w:t>Números</w:t>
      </w:r>
      <w:r w:rsidR="00924E80" w:rsidRPr="00924E80">
        <w:rPr>
          <w:i/>
        </w:rPr>
        <w:t xml:space="preserve"> </w:t>
      </w:r>
      <w:r w:rsidR="00924E80" w:rsidRPr="00924E80">
        <w:t>e</w:t>
      </w:r>
      <w:r w:rsidR="00924E80" w:rsidRPr="00924E80">
        <w:rPr>
          <w:i/>
        </w:rPr>
        <w:t xml:space="preserve"> </w:t>
      </w:r>
      <w:r w:rsidR="00924E80" w:rsidRPr="00D80928">
        <w:rPr>
          <w:rStyle w:val="TextoBold"/>
        </w:rPr>
        <w:t>Álgebra</w:t>
      </w:r>
      <w:r w:rsidR="00924E80" w:rsidRPr="00924E80">
        <w:t xml:space="preserve">. O domínio do cálculo e a compreensão </w:t>
      </w:r>
      <w:r>
        <w:t>da</w:t>
      </w:r>
      <w:r w:rsidR="00924E80" w:rsidRPr="00924E80">
        <w:t xml:space="preserve"> relação entre essas unidades </w:t>
      </w:r>
      <w:r w:rsidR="00CA00F2">
        <w:t>são</w:t>
      </w:r>
      <w:r w:rsidR="00CA00F2" w:rsidRPr="00924E80">
        <w:t xml:space="preserve"> primordia</w:t>
      </w:r>
      <w:r w:rsidR="00CA00F2">
        <w:t>is</w:t>
      </w:r>
      <w:r w:rsidR="00CA00F2" w:rsidRPr="00924E80">
        <w:t xml:space="preserve"> </w:t>
      </w:r>
      <w:r w:rsidR="00924E80" w:rsidRPr="00924E80">
        <w:t>para a continuidade no campo dos números reais nos anos que seguem.</w:t>
      </w:r>
    </w:p>
    <w:p w14:paraId="35C621E9" w14:textId="0F2D645E" w:rsidR="00924E80" w:rsidRPr="00924E80" w:rsidRDefault="00924E80" w:rsidP="00924E80">
      <w:pPr>
        <w:pStyle w:val="02TEXTOPRINCIPALBULLET"/>
      </w:pPr>
      <w:r w:rsidRPr="00924E80">
        <w:t>Saber representar um número por sua decomposição em fatores primos, obter o mínimo múltiplo comum e o máximo divisor comum de números dados</w:t>
      </w:r>
      <w:r w:rsidR="00D80928">
        <w:t>,</w:t>
      </w:r>
      <w:r w:rsidRPr="00924E80">
        <w:t xml:space="preserve"> ferramentas primordiais para a resolução de problemas sobre partição e sobre proporcionalidade, conceitos aplicados em diversas atividades humanas.</w:t>
      </w:r>
    </w:p>
    <w:p w14:paraId="0D0FAAC9" w14:textId="70AF2FB4" w:rsidR="00B31983" w:rsidRDefault="00924E80" w:rsidP="00924E80">
      <w:pPr>
        <w:pStyle w:val="02TEXTOPRINCIPALBULLET"/>
      </w:pPr>
      <w:r w:rsidRPr="00924E80">
        <w:t xml:space="preserve">Na Unidade Temática </w:t>
      </w:r>
      <w:r w:rsidRPr="00D80928">
        <w:rPr>
          <w:rStyle w:val="TextoBold"/>
        </w:rPr>
        <w:t xml:space="preserve">Probabilidade e </w:t>
      </w:r>
      <w:r w:rsidR="00D80928" w:rsidRPr="00D80928">
        <w:rPr>
          <w:rStyle w:val="TextoBold"/>
        </w:rPr>
        <w:t>e</w:t>
      </w:r>
      <w:r w:rsidRPr="00D80928">
        <w:rPr>
          <w:rStyle w:val="TextoBold"/>
        </w:rPr>
        <w:t>statística</w:t>
      </w:r>
      <w:r w:rsidRPr="00924E80">
        <w:t xml:space="preserve">, a percepção da evolução de complexidade </w:t>
      </w:r>
      <w:r w:rsidR="00D80928">
        <w:t>no trabalho</w:t>
      </w:r>
      <w:r w:rsidRPr="00924E80">
        <w:t xml:space="preserve"> com gráficos de colunas simples para gráficos de colunas duplas</w:t>
      </w:r>
      <w:r w:rsidR="00D80928">
        <w:t>, o que</w:t>
      </w:r>
      <w:r w:rsidRPr="00924E80">
        <w:t xml:space="preserve"> é fundamental para motivar o</w:t>
      </w:r>
      <w:r w:rsidR="00D80928">
        <w:t>s</w:t>
      </w:r>
      <w:r w:rsidRPr="00924E80">
        <w:t xml:space="preserve"> aluno</w:t>
      </w:r>
      <w:r w:rsidR="00D80928">
        <w:t>s</w:t>
      </w:r>
      <w:r w:rsidRPr="00924E80">
        <w:t xml:space="preserve"> a buscar</w:t>
      </w:r>
      <w:r w:rsidR="00D80928">
        <w:t>em</w:t>
      </w:r>
      <w:r w:rsidRPr="00924E80">
        <w:t xml:space="preserve"> nov</w:t>
      </w:r>
      <w:r w:rsidR="00D80928">
        <w:t>o</w:t>
      </w:r>
      <w:r w:rsidRPr="00924E80">
        <w:t>s e mais completos instrumentos de compreensão da realidade.</w:t>
      </w:r>
    </w:p>
    <w:sectPr w:rsidR="00B31983" w:rsidSect="00783EEA">
      <w:headerReference w:type="default" r:id="rId37"/>
      <w:footerReference w:type="default" r:id="rId3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B2A6" w14:textId="77777777" w:rsidR="00E33B2A" w:rsidRDefault="00E33B2A" w:rsidP="00916AAC">
      <w:r>
        <w:separator/>
      </w:r>
    </w:p>
  </w:endnote>
  <w:endnote w:type="continuationSeparator" w:id="0">
    <w:p w14:paraId="50DE7913" w14:textId="77777777" w:rsidR="00E33B2A" w:rsidRDefault="00E33B2A" w:rsidP="0091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 Std">
    <w:altName w:val="Scene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D0527" w14:paraId="78471179" w14:textId="77777777" w:rsidTr="004D0527">
      <w:tc>
        <w:tcPr>
          <w:tcW w:w="9606" w:type="dxa"/>
        </w:tcPr>
        <w:p w14:paraId="3CA82C02" w14:textId="77777777" w:rsidR="004D0527" w:rsidRDefault="004D0527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AAD2AF6" w14:textId="77777777" w:rsidR="004D0527" w:rsidRDefault="004D0527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055D7DE" w14:textId="247F74F1" w:rsidR="004D0527" w:rsidRDefault="004D0527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857C4">
            <w:rPr>
              <w:rStyle w:val="RodapChar"/>
              <w:noProof/>
              <w:kern w:val="3"/>
              <w:lang w:bidi="hi-IN"/>
            </w:rPr>
            <w:t>13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00CD8021" w14:textId="6E9FC40F" w:rsidR="005E77BD" w:rsidRPr="004D0527" w:rsidRDefault="005E77BD" w:rsidP="004D05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F513" w14:textId="77777777" w:rsidR="00E33B2A" w:rsidRDefault="00E33B2A" w:rsidP="00916AAC">
      <w:r>
        <w:separator/>
      </w:r>
    </w:p>
  </w:footnote>
  <w:footnote w:type="continuationSeparator" w:id="0">
    <w:p w14:paraId="6E336797" w14:textId="77777777" w:rsidR="00E33B2A" w:rsidRDefault="00E33B2A" w:rsidP="0091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712D" w14:textId="4067A6E9" w:rsidR="0039272A" w:rsidRDefault="0039272A">
    <w:pPr>
      <w:pStyle w:val="Cabealho"/>
    </w:pPr>
    <w:r>
      <w:rPr>
        <w:noProof/>
        <w:lang w:eastAsia="pt-BR" w:bidi="ar-SA"/>
      </w:rPr>
      <w:drawing>
        <wp:inline distT="0" distB="0" distL="0" distR="0" wp14:anchorId="637B1122" wp14:editId="5068E5C8">
          <wp:extent cx="6479540" cy="396024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28A"/>
    <w:multiLevelType w:val="hybridMultilevel"/>
    <w:tmpl w:val="FC980A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C56"/>
    <w:multiLevelType w:val="hybridMultilevel"/>
    <w:tmpl w:val="DBB42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F3EED"/>
    <w:multiLevelType w:val="hybridMultilevel"/>
    <w:tmpl w:val="17D22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79"/>
    <w:rsid w:val="0001168F"/>
    <w:rsid w:val="00011C15"/>
    <w:rsid w:val="00020AF2"/>
    <w:rsid w:val="00024FDD"/>
    <w:rsid w:val="000261EB"/>
    <w:rsid w:val="0003496C"/>
    <w:rsid w:val="00034AF6"/>
    <w:rsid w:val="00042A69"/>
    <w:rsid w:val="00047407"/>
    <w:rsid w:val="00055492"/>
    <w:rsid w:val="00061686"/>
    <w:rsid w:val="00062A41"/>
    <w:rsid w:val="00067016"/>
    <w:rsid w:val="000750D9"/>
    <w:rsid w:val="000757EE"/>
    <w:rsid w:val="000778FD"/>
    <w:rsid w:val="00095BC6"/>
    <w:rsid w:val="000A56DC"/>
    <w:rsid w:val="000B6A65"/>
    <w:rsid w:val="000C6149"/>
    <w:rsid w:val="000D62E3"/>
    <w:rsid w:val="000E7E7B"/>
    <w:rsid w:val="000F1160"/>
    <w:rsid w:val="000F6C44"/>
    <w:rsid w:val="00101CDB"/>
    <w:rsid w:val="001067C5"/>
    <w:rsid w:val="0011065B"/>
    <w:rsid w:val="00110F0C"/>
    <w:rsid w:val="00111214"/>
    <w:rsid w:val="00112167"/>
    <w:rsid w:val="00116E73"/>
    <w:rsid w:val="00122D7D"/>
    <w:rsid w:val="001239C5"/>
    <w:rsid w:val="001409C6"/>
    <w:rsid w:val="0014587B"/>
    <w:rsid w:val="00152695"/>
    <w:rsid w:val="00152DB0"/>
    <w:rsid w:val="001656A3"/>
    <w:rsid w:val="0016574C"/>
    <w:rsid w:val="00183EA7"/>
    <w:rsid w:val="001A01DF"/>
    <w:rsid w:val="001B00CD"/>
    <w:rsid w:val="001B5A66"/>
    <w:rsid w:val="001C7F9C"/>
    <w:rsid w:val="001D17FA"/>
    <w:rsid w:val="001D4247"/>
    <w:rsid w:val="001F0C8E"/>
    <w:rsid w:val="00200667"/>
    <w:rsid w:val="002069CC"/>
    <w:rsid w:val="00214F08"/>
    <w:rsid w:val="00226FC8"/>
    <w:rsid w:val="00227ED8"/>
    <w:rsid w:val="00240251"/>
    <w:rsid w:val="002462E6"/>
    <w:rsid w:val="002537A6"/>
    <w:rsid w:val="0025733B"/>
    <w:rsid w:val="0026591A"/>
    <w:rsid w:val="00273D7B"/>
    <w:rsid w:val="00275A12"/>
    <w:rsid w:val="00287772"/>
    <w:rsid w:val="00287B15"/>
    <w:rsid w:val="002A316B"/>
    <w:rsid w:val="002A728F"/>
    <w:rsid w:val="002B0288"/>
    <w:rsid w:val="002C27C0"/>
    <w:rsid w:val="002D6CBE"/>
    <w:rsid w:val="002E5422"/>
    <w:rsid w:val="002E765F"/>
    <w:rsid w:val="002F05C4"/>
    <w:rsid w:val="00312DBA"/>
    <w:rsid w:val="00317AF2"/>
    <w:rsid w:val="0032261E"/>
    <w:rsid w:val="00327D58"/>
    <w:rsid w:val="00331485"/>
    <w:rsid w:val="003323FB"/>
    <w:rsid w:val="00335899"/>
    <w:rsid w:val="0034342A"/>
    <w:rsid w:val="00346559"/>
    <w:rsid w:val="003475D6"/>
    <w:rsid w:val="003547B5"/>
    <w:rsid w:val="0036456F"/>
    <w:rsid w:val="00383638"/>
    <w:rsid w:val="0039272A"/>
    <w:rsid w:val="00397C7B"/>
    <w:rsid w:val="003A15B9"/>
    <w:rsid w:val="003A5F2C"/>
    <w:rsid w:val="003A7BAF"/>
    <w:rsid w:val="003B7646"/>
    <w:rsid w:val="003B7D0B"/>
    <w:rsid w:val="003C4731"/>
    <w:rsid w:val="003C5F93"/>
    <w:rsid w:val="003C7CB2"/>
    <w:rsid w:val="003D6589"/>
    <w:rsid w:val="003E2357"/>
    <w:rsid w:val="003F2409"/>
    <w:rsid w:val="003F7B2A"/>
    <w:rsid w:val="00417A61"/>
    <w:rsid w:val="004219E5"/>
    <w:rsid w:val="004224EE"/>
    <w:rsid w:val="00423192"/>
    <w:rsid w:val="00445F01"/>
    <w:rsid w:val="0045607F"/>
    <w:rsid w:val="00461C3B"/>
    <w:rsid w:val="004739C3"/>
    <w:rsid w:val="004748D5"/>
    <w:rsid w:val="00474B3B"/>
    <w:rsid w:val="0047749D"/>
    <w:rsid w:val="00483287"/>
    <w:rsid w:val="00492ACE"/>
    <w:rsid w:val="004A0ACD"/>
    <w:rsid w:val="004A1120"/>
    <w:rsid w:val="004A1258"/>
    <w:rsid w:val="004A1D7D"/>
    <w:rsid w:val="004A32C5"/>
    <w:rsid w:val="004A58AA"/>
    <w:rsid w:val="004B38E5"/>
    <w:rsid w:val="004C5F84"/>
    <w:rsid w:val="004D0527"/>
    <w:rsid w:val="004E0249"/>
    <w:rsid w:val="004E4DC5"/>
    <w:rsid w:val="004F6424"/>
    <w:rsid w:val="00501FDA"/>
    <w:rsid w:val="00503A0E"/>
    <w:rsid w:val="0051622D"/>
    <w:rsid w:val="00520ED9"/>
    <w:rsid w:val="00522518"/>
    <w:rsid w:val="005237D9"/>
    <w:rsid w:val="00534BFD"/>
    <w:rsid w:val="00535323"/>
    <w:rsid w:val="00541156"/>
    <w:rsid w:val="00543686"/>
    <w:rsid w:val="005560E9"/>
    <w:rsid w:val="0056189B"/>
    <w:rsid w:val="00582F11"/>
    <w:rsid w:val="00585A2E"/>
    <w:rsid w:val="00592F43"/>
    <w:rsid w:val="005A222A"/>
    <w:rsid w:val="005B2079"/>
    <w:rsid w:val="005C4351"/>
    <w:rsid w:val="005C78F7"/>
    <w:rsid w:val="005E77BD"/>
    <w:rsid w:val="00602E10"/>
    <w:rsid w:val="0060614D"/>
    <w:rsid w:val="0061182A"/>
    <w:rsid w:val="006161EE"/>
    <w:rsid w:val="00622DC6"/>
    <w:rsid w:val="00625E04"/>
    <w:rsid w:val="006262BB"/>
    <w:rsid w:val="00637B5E"/>
    <w:rsid w:val="00645CDB"/>
    <w:rsid w:val="006565CD"/>
    <w:rsid w:val="006644B6"/>
    <w:rsid w:val="00664A0E"/>
    <w:rsid w:val="00685123"/>
    <w:rsid w:val="00685423"/>
    <w:rsid w:val="00686D98"/>
    <w:rsid w:val="006B2BFC"/>
    <w:rsid w:val="006C2134"/>
    <w:rsid w:val="006D011B"/>
    <w:rsid w:val="006D07B9"/>
    <w:rsid w:val="006D0B11"/>
    <w:rsid w:val="006D2BD0"/>
    <w:rsid w:val="006D33A3"/>
    <w:rsid w:val="006D7A05"/>
    <w:rsid w:val="006F5E1E"/>
    <w:rsid w:val="006F7BA4"/>
    <w:rsid w:val="00705096"/>
    <w:rsid w:val="00711DF3"/>
    <w:rsid w:val="00724561"/>
    <w:rsid w:val="007363EE"/>
    <w:rsid w:val="00744E93"/>
    <w:rsid w:val="007465DF"/>
    <w:rsid w:val="00770899"/>
    <w:rsid w:val="0077482A"/>
    <w:rsid w:val="00783EEA"/>
    <w:rsid w:val="007904EF"/>
    <w:rsid w:val="007A039E"/>
    <w:rsid w:val="007A168D"/>
    <w:rsid w:val="007A1DFC"/>
    <w:rsid w:val="007A5DBF"/>
    <w:rsid w:val="007B1091"/>
    <w:rsid w:val="007B36B2"/>
    <w:rsid w:val="007B6AB5"/>
    <w:rsid w:val="007C6317"/>
    <w:rsid w:val="007D7CF2"/>
    <w:rsid w:val="007E008A"/>
    <w:rsid w:val="007E43B6"/>
    <w:rsid w:val="007E49B6"/>
    <w:rsid w:val="007F08C3"/>
    <w:rsid w:val="007F5925"/>
    <w:rsid w:val="007F5D14"/>
    <w:rsid w:val="0080400A"/>
    <w:rsid w:val="00807C24"/>
    <w:rsid w:val="00813127"/>
    <w:rsid w:val="00817B70"/>
    <w:rsid w:val="00827085"/>
    <w:rsid w:val="00851C24"/>
    <w:rsid w:val="0086751C"/>
    <w:rsid w:val="00870EFF"/>
    <w:rsid w:val="008765DB"/>
    <w:rsid w:val="00881408"/>
    <w:rsid w:val="008877EB"/>
    <w:rsid w:val="008A5323"/>
    <w:rsid w:val="008A74D0"/>
    <w:rsid w:val="008D5424"/>
    <w:rsid w:val="008E3B4B"/>
    <w:rsid w:val="008E7CD4"/>
    <w:rsid w:val="008F47F5"/>
    <w:rsid w:val="0091242F"/>
    <w:rsid w:val="00914BC7"/>
    <w:rsid w:val="00916AAC"/>
    <w:rsid w:val="00924E80"/>
    <w:rsid w:val="00925B41"/>
    <w:rsid w:val="009515F0"/>
    <w:rsid w:val="00953816"/>
    <w:rsid w:val="0095488B"/>
    <w:rsid w:val="0095733F"/>
    <w:rsid w:val="009605A3"/>
    <w:rsid w:val="00965447"/>
    <w:rsid w:val="009751D2"/>
    <w:rsid w:val="00987717"/>
    <w:rsid w:val="009912E4"/>
    <w:rsid w:val="009C17E7"/>
    <w:rsid w:val="009C1CE9"/>
    <w:rsid w:val="009D51B7"/>
    <w:rsid w:val="009D7A79"/>
    <w:rsid w:val="009F020F"/>
    <w:rsid w:val="009F4D06"/>
    <w:rsid w:val="009F561D"/>
    <w:rsid w:val="00A104C8"/>
    <w:rsid w:val="00A108C0"/>
    <w:rsid w:val="00A14A7F"/>
    <w:rsid w:val="00A16C0B"/>
    <w:rsid w:val="00A23EC4"/>
    <w:rsid w:val="00A25503"/>
    <w:rsid w:val="00A27D52"/>
    <w:rsid w:val="00A358A7"/>
    <w:rsid w:val="00A37D74"/>
    <w:rsid w:val="00A43026"/>
    <w:rsid w:val="00A50750"/>
    <w:rsid w:val="00A60878"/>
    <w:rsid w:val="00A63CD7"/>
    <w:rsid w:val="00A7191B"/>
    <w:rsid w:val="00A8158F"/>
    <w:rsid w:val="00A821DE"/>
    <w:rsid w:val="00A96CFD"/>
    <w:rsid w:val="00AB0F12"/>
    <w:rsid w:val="00AC0AA7"/>
    <w:rsid w:val="00AC44DA"/>
    <w:rsid w:val="00AE084C"/>
    <w:rsid w:val="00AE20C1"/>
    <w:rsid w:val="00AE385C"/>
    <w:rsid w:val="00AE5CC1"/>
    <w:rsid w:val="00AF520C"/>
    <w:rsid w:val="00B04CE8"/>
    <w:rsid w:val="00B109E0"/>
    <w:rsid w:val="00B12053"/>
    <w:rsid w:val="00B12AFB"/>
    <w:rsid w:val="00B2149A"/>
    <w:rsid w:val="00B271F7"/>
    <w:rsid w:val="00B31983"/>
    <w:rsid w:val="00B328EA"/>
    <w:rsid w:val="00B43EE3"/>
    <w:rsid w:val="00B55816"/>
    <w:rsid w:val="00B56CB1"/>
    <w:rsid w:val="00B657A9"/>
    <w:rsid w:val="00B704A2"/>
    <w:rsid w:val="00B76B57"/>
    <w:rsid w:val="00B91285"/>
    <w:rsid w:val="00B92D32"/>
    <w:rsid w:val="00BA0372"/>
    <w:rsid w:val="00BA70B1"/>
    <w:rsid w:val="00BC70E5"/>
    <w:rsid w:val="00BC75D7"/>
    <w:rsid w:val="00BD68A4"/>
    <w:rsid w:val="00BE13D1"/>
    <w:rsid w:val="00BE2681"/>
    <w:rsid w:val="00BF6C8D"/>
    <w:rsid w:val="00C02AD5"/>
    <w:rsid w:val="00C05B12"/>
    <w:rsid w:val="00C06466"/>
    <w:rsid w:val="00C16A6B"/>
    <w:rsid w:val="00C276FB"/>
    <w:rsid w:val="00C32121"/>
    <w:rsid w:val="00C3283E"/>
    <w:rsid w:val="00C446A8"/>
    <w:rsid w:val="00C5023C"/>
    <w:rsid w:val="00C50A5D"/>
    <w:rsid w:val="00C51D33"/>
    <w:rsid w:val="00C56FD0"/>
    <w:rsid w:val="00C677E4"/>
    <w:rsid w:val="00C738A7"/>
    <w:rsid w:val="00C83CA8"/>
    <w:rsid w:val="00C8729B"/>
    <w:rsid w:val="00C876F4"/>
    <w:rsid w:val="00CA00F2"/>
    <w:rsid w:val="00CB150B"/>
    <w:rsid w:val="00CB25BA"/>
    <w:rsid w:val="00CC0D72"/>
    <w:rsid w:val="00CC2100"/>
    <w:rsid w:val="00CD133D"/>
    <w:rsid w:val="00CE702E"/>
    <w:rsid w:val="00CF0F60"/>
    <w:rsid w:val="00CF1A66"/>
    <w:rsid w:val="00CF24A9"/>
    <w:rsid w:val="00CF39BF"/>
    <w:rsid w:val="00D159A3"/>
    <w:rsid w:val="00D20120"/>
    <w:rsid w:val="00D25915"/>
    <w:rsid w:val="00D32765"/>
    <w:rsid w:val="00D370ED"/>
    <w:rsid w:val="00D433DE"/>
    <w:rsid w:val="00D47192"/>
    <w:rsid w:val="00D52EA4"/>
    <w:rsid w:val="00D54FA2"/>
    <w:rsid w:val="00D6147D"/>
    <w:rsid w:val="00D62E9C"/>
    <w:rsid w:val="00D6491B"/>
    <w:rsid w:val="00D656EE"/>
    <w:rsid w:val="00D660F4"/>
    <w:rsid w:val="00D717D3"/>
    <w:rsid w:val="00D76864"/>
    <w:rsid w:val="00D76B78"/>
    <w:rsid w:val="00D80928"/>
    <w:rsid w:val="00D8540E"/>
    <w:rsid w:val="00D97A3C"/>
    <w:rsid w:val="00DA1DFF"/>
    <w:rsid w:val="00DA6A33"/>
    <w:rsid w:val="00DB1D88"/>
    <w:rsid w:val="00DB4B50"/>
    <w:rsid w:val="00DC0F76"/>
    <w:rsid w:val="00DD6FC5"/>
    <w:rsid w:val="00DE7A65"/>
    <w:rsid w:val="00E01D42"/>
    <w:rsid w:val="00E03948"/>
    <w:rsid w:val="00E10FE4"/>
    <w:rsid w:val="00E12E67"/>
    <w:rsid w:val="00E2094C"/>
    <w:rsid w:val="00E22411"/>
    <w:rsid w:val="00E33B2A"/>
    <w:rsid w:val="00E401D0"/>
    <w:rsid w:val="00E41C76"/>
    <w:rsid w:val="00E50094"/>
    <w:rsid w:val="00E5451E"/>
    <w:rsid w:val="00E607FC"/>
    <w:rsid w:val="00E60B39"/>
    <w:rsid w:val="00E60DBC"/>
    <w:rsid w:val="00E61724"/>
    <w:rsid w:val="00E73D10"/>
    <w:rsid w:val="00E741A3"/>
    <w:rsid w:val="00E825E6"/>
    <w:rsid w:val="00E857C4"/>
    <w:rsid w:val="00EA35B2"/>
    <w:rsid w:val="00EA7A7E"/>
    <w:rsid w:val="00EB225C"/>
    <w:rsid w:val="00EB2CE3"/>
    <w:rsid w:val="00EB5C7A"/>
    <w:rsid w:val="00ED0264"/>
    <w:rsid w:val="00EE18D7"/>
    <w:rsid w:val="00EE1D09"/>
    <w:rsid w:val="00EF0B23"/>
    <w:rsid w:val="00EF1FCA"/>
    <w:rsid w:val="00EF24D0"/>
    <w:rsid w:val="00F03329"/>
    <w:rsid w:val="00F13EC4"/>
    <w:rsid w:val="00F17168"/>
    <w:rsid w:val="00F21394"/>
    <w:rsid w:val="00F23B6E"/>
    <w:rsid w:val="00F55101"/>
    <w:rsid w:val="00F5692B"/>
    <w:rsid w:val="00F63457"/>
    <w:rsid w:val="00F636BF"/>
    <w:rsid w:val="00F6784B"/>
    <w:rsid w:val="00F71E9D"/>
    <w:rsid w:val="00F72573"/>
    <w:rsid w:val="00F82560"/>
    <w:rsid w:val="00FA2FCF"/>
    <w:rsid w:val="00FB37E0"/>
    <w:rsid w:val="00FB5372"/>
    <w:rsid w:val="00FB6450"/>
    <w:rsid w:val="00FB724A"/>
    <w:rsid w:val="00FB7669"/>
    <w:rsid w:val="00FC0067"/>
    <w:rsid w:val="00FC0EC4"/>
    <w:rsid w:val="00FC441F"/>
    <w:rsid w:val="00FC6EC7"/>
    <w:rsid w:val="00FD1B9A"/>
    <w:rsid w:val="00FE039A"/>
    <w:rsid w:val="00FE4D8E"/>
    <w:rsid w:val="00FE6E62"/>
    <w:rsid w:val="00FF0104"/>
    <w:rsid w:val="00FF2149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FD11F8"/>
  <w15:docId w15:val="{0973EB16-3810-4BB9-8911-8ECCCDC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482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7482A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7482A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7482A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7482A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7482A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7482A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7482A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7482A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7482A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482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482A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7748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A5"/>
    <w:uiPriority w:val="99"/>
    <w:rsid w:val="00F82560"/>
    <w:rPr>
      <w:rFonts w:cs="Neo Sans Std"/>
      <w:color w:val="000000"/>
    </w:rPr>
  </w:style>
  <w:style w:type="character" w:customStyle="1" w:styleId="A7">
    <w:name w:val="A7"/>
    <w:uiPriority w:val="99"/>
    <w:rsid w:val="00F82560"/>
    <w:rPr>
      <w:rFonts w:cs="Neo Sans Std"/>
      <w:color w:val="221E1F"/>
      <w:sz w:val="12"/>
      <w:szCs w:val="12"/>
      <w:u w:val="single"/>
    </w:rPr>
  </w:style>
  <w:style w:type="character" w:styleId="Hyperlink">
    <w:name w:val="Hyperlink"/>
    <w:basedOn w:val="Fontepargpadro"/>
    <w:uiPriority w:val="99"/>
    <w:unhideWhenUsed/>
    <w:rsid w:val="0077482A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C6EC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4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482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482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482A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482A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82A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82A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7748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7482A"/>
    <w:rPr>
      <w:szCs w:val="21"/>
    </w:rPr>
  </w:style>
  <w:style w:type="paragraph" w:styleId="Rodap">
    <w:name w:val="footer"/>
    <w:basedOn w:val="Normal"/>
    <w:link w:val="RodapChar"/>
    <w:rsid w:val="007748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7482A"/>
    <w:rPr>
      <w:szCs w:val="21"/>
    </w:rPr>
  </w:style>
  <w:style w:type="paragraph" w:customStyle="1" w:styleId="01TITULO1">
    <w:name w:val="01_TITULO_1"/>
    <w:basedOn w:val="02TEXTOPRINCIPAL"/>
    <w:rsid w:val="0077482A"/>
    <w:pPr>
      <w:spacing w:before="160" w:after="0"/>
    </w:pPr>
    <w:rPr>
      <w:rFonts w:ascii="Cambria" w:eastAsia="Cambria" w:hAnsi="Cambria" w:cs="Cambria"/>
      <w:b/>
      <w:sz w:val="40"/>
    </w:rPr>
  </w:style>
  <w:style w:type="character" w:customStyle="1" w:styleId="TextoBold">
    <w:name w:val="Texto Bold"/>
    <w:basedOn w:val="Fontepargpadro"/>
    <w:uiPriority w:val="1"/>
    <w:qFormat/>
    <w:rsid w:val="0077482A"/>
    <w:rPr>
      <w:rFonts w:ascii="Tahoma" w:hAnsi="Tahoma"/>
      <w:b/>
      <w:sz w:val="20"/>
    </w:rPr>
  </w:style>
  <w:style w:type="paragraph" w:customStyle="1" w:styleId="02TEXTOPRINCIPAL">
    <w:name w:val="02_TEXTO_PRINCIPAL"/>
    <w:basedOn w:val="Textbody"/>
    <w:rsid w:val="0077482A"/>
    <w:pPr>
      <w:spacing w:before="57" w:after="57" w:line="240" w:lineRule="atLeast"/>
    </w:pPr>
  </w:style>
  <w:style w:type="paragraph" w:customStyle="1" w:styleId="00TtuloPeso1">
    <w:name w:val="00_Título Peso 1"/>
    <w:basedOn w:val="Normal"/>
    <w:autoRedefine/>
    <w:qFormat/>
    <w:rsid w:val="0077482A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7482A"/>
  </w:style>
  <w:style w:type="paragraph" w:customStyle="1" w:styleId="01TtuloPeso2">
    <w:name w:val="01_Título Peso 2"/>
    <w:basedOn w:val="Normal"/>
    <w:autoRedefine/>
    <w:qFormat/>
    <w:rsid w:val="0077482A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7482A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77482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77482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77482A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77482A"/>
    <w:rPr>
      <w:sz w:val="32"/>
    </w:rPr>
  </w:style>
  <w:style w:type="paragraph" w:customStyle="1" w:styleId="01TITULO4">
    <w:name w:val="01_TITULO_4"/>
    <w:basedOn w:val="01TITULO3"/>
    <w:rsid w:val="0077482A"/>
    <w:rPr>
      <w:sz w:val="28"/>
    </w:rPr>
  </w:style>
  <w:style w:type="paragraph" w:customStyle="1" w:styleId="03TITULOTABELAS1">
    <w:name w:val="03_TITULO_TABELAS_1"/>
    <w:basedOn w:val="02TEXTOPRINCIPAL"/>
    <w:rsid w:val="0077482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7482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7482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7482A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7482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7482A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7482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7482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7482A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7482A"/>
    <w:rPr>
      <w:sz w:val="21"/>
    </w:rPr>
  </w:style>
  <w:style w:type="paragraph" w:customStyle="1" w:styleId="04TextoGeral">
    <w:name w:val="04_Texto Geral"/>
    <w:basedOn w:val="Normal"/>
    <w:autoRedefine/>
    <w:qFormat/>
    <w:rsid w:val="0077482A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77482A"/>
    <w:pPr>
      <w:spacing w:before="0" w:after="0"/>
    </w:pPr>
  </w:style>
  <w:style w:type="paragraph" w:customStyle="1" w:styleId="05ATIVIDADES">
    <w:name w:val="05_ATIVIDADES"/>
    <w:basedOn w:val="02TEXTOITEM"/>
    <w:rsid w:val="0077482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7482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7482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7482A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7482A"/>
    <w:pPr>
      <w:ind w:left="0" w:firstLine="0"/>
    </w:pPr>
  </w:style>
  <w:style w:type="paragraph" w:customStyle="1" w:styleId="06CREDITO">
    <w:name w:val="06_CREDITO"/>
    <w:basedOn w:val="02TEXTOPRINCIPAL"/>
    <w:rsid w:val="0077482A"/>
    <w:rPr>
      <w:sz w:val="16"/>
    </w:rPr>
  </w:style>
  <w:style w:type="paragraph" w:customStyle="1" w:styleId="06LEGENDA">
    <w:name w:val="06_LEGENDA"/>
    <w:basedOn w:val="06CREDITO"/>
    <w:rsid w:val="0077482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7482A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7482A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7482A"/>
    <w:pPr>
      <w:numPr>
        <w:numId w:val="10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77482A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7482A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77482A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77482A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7482A"/>
    <w:pPr>
      <w:ind w:firstLine="283"/>
    </w:pPr>
  </w:style>
  <w:style w:type="character" w:styleId="Forte">
    <w:name w:val="Strong"/>
    <w:basedOn w:val="Fontepargpadro"/>
    <w:uiPriority w:val="22"/>
    <w:qFormat/>
    <w:rsid w:val="0077482A"/>
    <w:rPr>
      <w:b/>
      <w:bCs/>
    </w:rPr>
  </w:style>
  <w:style w:type="paragraph" w:customStyle="1" w:styleId="Hangingindent">
    <w:name w:val="Hanging indent"/>
    <w:basedOn w:val="Textbody"/>
    <w:rsid w:val="0077482A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7482A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7482A"/>
    <w:rPr>
      <w:color w:val="954F72" w:themeColor="followedHyperlink"/>
      <w:u w:val="single"/>
    </w:rPr>
  </w:style>
  <w:style w:type="paragraph" w:customStyle="1" w:styleId="Index">
    <w:name w:val="Index"/>
    <w:rsid w:val="0077482A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77482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7482A"/>
    <w:pPr>
      <w:numPr>
        <w:numId w:val="11"/>
      </w:numPr>
    </w:pPr>
  </w:style>
  <w:style w:type="numbering" w:customStyle="1" w:styleId="LFO3">
    <w:name w:val="LFO3"/>
    <w:basedOn w:val="Semlista"/>
    <w:rsid w:val="0077482A"/>
    <w:pPr>
      <w:numPr>
        <w:numId w:val="7"/>
      </w:numPr>
    </w:pPr>
  </w:style>
  <w:style w:type="paragraph" w:customStyle="1" w:styleId="ListIndent">
    <w:name w:val="List Indent"/>
    <w:basedOn w:val="Textbody"/>
    <w:rsid w:val="0077482A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7482A"/>
    <w:rPr>
      <w:rFonts w:cs="Mangal"/>
      <w:sz w:val="24"/>
    </w:rPr>
  </w:style>
  <w:style w:type="character" w:customStyle="1" w:styleId="LYBOLDLIGHT">
    <w:name w:val="LY_BOLD_LIGHT"/>
    <w:uiPriority w:val="99"/>
    <w:rsid w:val="0077482A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7482A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7482A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7482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7482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77482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7482A"/>
    <w:pPr>
      <w:suppressLineNumbers/>
    </w:pPr>
  </w:style>
  <w:style w:type="character" w:customStyle="1" w:styleId="SaudaoChar">
    <w:name w:val="Saudação Char"/>
    <w:basedOn w:val="Fontepargpadro"/>
    <w:link w:val="Saudao"/>
    <w:rsid w:val="0077482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77482A"/>
    <w:rPr>
      <w:rFonts w:cstheme="minorHAnsi"/>
      <w:sz w:val="20"/>
    </w:rPr>
  </w:style>
  <w:style w:type="paragraph" w:customStyle="1" w:styleId="TableContents">
    <w:name w:val="Table Contents"/>
    <w:basedOn w:val="Standard"/>
    <w:rsid w:val="0077482A"/>
    <w:pPr>
      <w:suppressLineNumbers/>
    </w:pPr>
  </w:style>
  <w:style w:type="paragraph" w:customStyle="1" w:styleId="Textbodyindent">
    <w:name w:val="Text body indent"/>
    <w:basedOn w:val="Textbody"/>
    <w:rsid w:val="0077482A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77482A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77482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74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7482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74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7482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74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7482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74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74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s://www.cempem.fe.unicamp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http://www.uff.br/?q=tags/laboratorio-de-ensino-de-geometria-leg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epeticem.ufrrj.br/portal/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pos-graduacao.uepb.edu.br/ppgecm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D903-A00E-4673-8AC5-AB16D387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4672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Marcel Hideki Yonamine</cp:lastModifiedBy>
  <cp:revision>47</cp:revision>
  <dcterms:created xsi:type="dcterms:W3CDTF">2018-09-07T11:32:00Z</dcterms:created>
  <dcterms:modified xsi:type="dcterms:W3CDTF">2018-10-18T18:21:00Z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1794780324</vt:i4>
  </property>
  <property fmtid="{D5CDD505-2E9C-101B-9397-08002B2CF9AE}" pid="4" name="_NewReviewCycle">
    <vt:lpwstr/>
  </property>
  <property fmtid="{D5CDD505-2E9C-101B-9397-08002B2CF9AE}" pid="5" name="_EmailSubject">
    <vt:lpwstr>Matemática 7 - Digital</vt:lpwstr>
  </property>
  <property fmtid="{D5CDD505-2E9C-101B-9397-08002B2CF9AE}" pid="6" name="_AuthorEmail">
    <vt:lpwstr>cchristi@moderna.com.br</vt:lpwstr>
  </property>
  <property fmtid="{D5CDD505-2E9C-101B-9397-08002B2CF9AE}" pid="7" name="_AuthorEmailDisplayName">
    <vt:lpwstr>Camila Christi Gazzani</vt:lpwstr>
  </property>
  <property fmtid="{D5CDD505-2E9C-101B-9397-08002B2CF9AE}" pid="8" name="_ReviewingToolsShownOnce">
    <vt:lpwstr/>
  </property>
</Properties>
</file>