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DE" w:rsidRPr="00792D1D" w:rsidRDefault="00B909DE" w:rsidP="00B909DE">
      <w:pPr>
        <w:pStyle w:val="01TITULO1"/>
      </w:pPr>
      <w:r w:rsidRPr="00792D1D">
        <w:t>PLANO DE DESENVOLVIMENTO</w:t>
      </w:r>
      <w:r>
        <w:t xml:space="preserve"> </w:t>
      </w:r>
    </w:p>
    <w:p w:rsidR="00605CC9" w:rsidRPr="00BF0E56" w:rsidRDefault="00EA0B85" w:rsidP="00BF0E56">
      <w:pPr>
        <w:pStyle w:val="01TITULO1"/>
      </w:pPr>
      <w:r>
        <w:t xml:space="preserve">6º ano – </w:t>
      </w:r>
      <w:r w:rsidR="002E17A6" w:rsidRPr="005070B4">
        <w:t>Bimestre 4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242"/>
        <w:gridCol w:w="2294"/>
        <w:gridCol w:w="3366"/>
      </w:tblGrid>
      <w:tr w:rsidR="0083187E" w:rsidRPr="0083187E" w:rsidTr="006E187D">
        <w:tc>
          <w:tcPr>
            <w:tcW w:w="1208" w:type="pct"/>
            <w:shd w:val="clear" w:color="auto" w:fill="auto"/>
          </w:tcPr>
          <w:p w:rsidR="00105AB5" w:rsidRPr="0083187E" w:rsidRDefault="00105AB5" w:rsidP="00BF0E56">
            <w:pPr>
              <w:pStyle w:val="03TITULOTABELAS1"/>
            </w:pPr>
            <w:r w:rsidRPr="0083187E">
              <w:t>Capítulos do livro do aluno</w:t>
            </w:r>
          </w:p>
        </w:tc>
        <w:tc>
          <w:tcPr>
            <w:tcW w:w="1076" w:type="pct"/>
            <w:shd w:val="clear" w:color="auto" w:fill="auto"/>
          </w:tcPr>
          <w:p w:rsidR="00105AB5" w:rsidRPr="0083187E" w:rsidRDefault="00105AB5" w:rsidP="00EA0B85">
            <w:pPr>
              <w:pStyle w:val="03TITULOTABELAS1"/>
            </w:pPr>
            <w:r w:rsidRPr="0083187E">
              <w:t xml:space="preserve">Unidade </w:t>
            </w:r>
            <w:r w:rsidR="00EA0B85">
              <w:t>T</w:t>
            </w:r>
            <w:r w:rsidRPr="0083187E">
              <w:t>emática da BNCC</w:t>
            </w:r>
          </w:p>
        </w:tc>
        <w:tc>
          <w:tcPr>
            <w:tcW w:w="1101" w:type="pct"/>
            <w:shd w:val="clear" w:color="auto" w:fill="auto"/>
          </w:tcPr>
          <w:p w:rsidR="00105AB5" w:rsidRPr="0083187E" w:rsidRDefault="00105AB5" w:rsidP="00BF0E56">
            <w:pPr>
              <w:pStyle w:val="03TITULOTABELAS1"/>
            </w:pPr>
            <w:r w:rsidRPr="0083187E">
              <w:t>Objetos de conhecimento da BNCC</w:t>
            </w:r>
          </w:p>
        </w:tc>
        <w:tc>
          <w:tcPr>
            <w:tcW w:w="1615" w:type="pct"/>
            <w:shd w:val="clear" w:color="auto" w:fill="auto"/>
          </w:tcPr>
          <w:p w:rsidR="00105AB5" w:rsidRPr="0083187E" w:rsidRDefault="00105AB5" w:rsidP="00BF0E56">
            <w:pPr>
              <w:pStyle w:val="03TITULOTABELAS1"/>
            </w:pPr>
            <w:r w:rsidRPr="0083187E">
              <w:t>Habilidades da BNCC</w:t>
            </w:r>
          </w:p>
        </w:tc>
      </w:tr>
      <w:tr w:rsidR="0083187E" w:rsidRPr="0083187E" w:rsidTr="006E187D">
        <w:tc>
          <w:tcPr>
            <w:tcW w:w="1208" w:type="pct"/>
            <w:vMerge w:val="restart"/>
          </w:tcPr>
          <w:p w:rsidR="00105AB5" w:rsidRPr="00BF0E56" w:rsidRDefault="006E187D" w:rsidP="00BF0E56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Capítulo 10 – </w:t>
            </w:r>
            <w:r w:rsidR="00105AB5" w:rsidRPr="00BF0E56">
              <w:rPr>
                <w:b/>
              </w:rPr>
              <w:t>Polígonos e poliedro</w:t>
            </w:r>
            <w:r w:rsidR="00EA0B85">
              <w:rPr>
                <w:b/>
              </w:rPr>
              <w:t>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1. </w:t>
            </w:r>
            <w:r w:rsidR="00105AB5" w:rsidRPr="0083187E">
              <w:t>Linhas poligonais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2. </w:t>
            </w:r>
            <w:r w:rsidR="00105AB5" w:rsidRPr="0083187E">
              <w:t>Polígonos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3. </w:t>
            </w:r>
            <w:r w:rsidR="00105AB5" w:rsidRPr="0083187E">
              <w:t>Triângulos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4. </w:t>
            </w:r>
            <w:r w:rsidR="00105AB5" w:rsidRPr="0083187E">
              <w:t xml:space="preserve">Quadriláteros 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5. </w:t>
            </w:r>
            <w:r w:rsidR="00105AB5" w:rsidRPr="0083187E">
              <w:t>O conceito de par ordenado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6. </w:t>
            </w:r>
            <w:r w:rsidR="00105AB5" w:rsidRPr="0083187E">
              <w:t>Planificação da superfície dos poliedros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7. </w:t>
            </w:r>
            <w:r w:rsidR="00105AB5" w:rsidRPr="0083187E">
              <w:t>Prismas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8. </w:t>
            </w:r>
            <w:r w:rsidR="00105AB5" w:rsidRPr="0083187E">
              <w:t>Pirâmides</w:t>
            </w:r>
          </w:p>
          <w:p w:rsidR="00105AB5" w:rsidRPr="0083187E" w:rsidRDefault="00BF0E56" w:rsidP="00BF0E56">
            <w:pPr>
              <w:pStyle w:val="04TEXTOTABELAS"/>
            </w:pPr>
            <w:r>
              <w:t>• A probabilidade das cores (</w:t>
            </w:r>
            <w:proofErr w:type="gramStart"/>
            <w:r>
              <w:t>s</w:t>
            </w:r>
            <w:r w:rsidR="00105AB5" w:rsidRPr="0083187E">
              <w:t xml:space="preserve">eção </w:t>
            </w:r>
            <w:r w:rsidR="00105AB5" w:rsidRPr="006E187D">
              <w:t>Trabalhando</w:t>
            </w:r>
            <w:proofErr w:type="gramEnd"/>
            <w:r w:rsidR="00105AB5" w:rsidRPr="006E187D">
              <w:t xml:space="preserve"> a informação</w:t>
            </w:r>
            <w:r w:rsidR="00105AB5" w:rsidRPr="0083187E">
              <w:t>)</w:t>
            </w:r>
          </w:p>
        </w:tc>
        <w:tc>
          <w:tcPr>
            <w:tcW w:w="1076" w:type="pct"/>
            <w:vMerge w:val="restart"/>
          </w:tcPr>
          <w:p w:rsidR="00105AB5" w:rsidRPr="0083187E" w:rsidRDefault="00105AB5" w:rsidP="00BF0E56">
            <w:pPr>
              <w:pStyle w:val="04TEXTOTABELAS"/>
              <w:rPr>
                <w:rStyle w:val="TextoBold"/>
                <w:szCs w:val="20"/>
              </w:rPr>
            </w:pPr>
            <w:r w:rsidRPr="0083187E">
              <w:rPr>
                <w:rStyle w:val="TextoBold"/>
                <w:szCs w:val="20"/>
              </w:rPr>
              <w:t>Geometria</w:t>
            </w:r>
          </w:p>
        </w:tc>
        <w:tc>
          <w:tcPr>
            <w:tcW w:w="1101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t>Prismas e pirâmides: planificações e relações entre seus elementos (vértices, faces e arestas)</w:t>
            </w:r>
          </w:p>
        </w:tc>
        <w:tc>
          <w:tcPr>
            <w:tcW w:w="1615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t>(</w:t>
            </w:r>
            <w:r w:rsidRPr="0083187E">
              <w:rPr>
                <w:rStyle w:val="TextoBold"/>
                <w:szCs w:val="20"/>
              </w:rPr>
              <w:t>EF06MA17)</w:t>
            </w:r>
            <w:r w:rsidRPr="0083187E">
              <w:t xml:space="preserve"> Quantificar e estabelecer relações entre o número de vértices, faces e arestas de prismas e pirâmides, em função do seu polígono da base, para resolver problemas e desenvolver a percepção espacial.</w:t>
            </w:r>
          </w:p>
        </w:tc>
      </w:tr>
      <w:tr w:rsidR="0083187E" w:rsidRPr="0083187E" w:rsidTr="006E187D">
        <w:tc>
          <w:tcPr>
            <w:tcW w:w="1208" w:type="pct"/>
            <w:vMerge/>
          </w:tcPr>
          <w:p w:rsidR="00105AB5" w:rsidRPr="0083187E" w:rsidRDefault="00105AB5" w:rsidP="00BF0E56">
            <w:pPr>
              <w:pStyle w:val="04TEXTOTABELAS"/>
            </w:pPr>
          </w:p>
        </w:tc>
        <w:tc>
          <w:tcPr>
            <w:tcW w:w="1076" w:type="pct"/>
            <w:vMerge/>
          </w:tcPr>
          <w:p w:rsidR="00105AB5" w:rsidRPr="0083187E" w:rsidRDefault="00105AB5" w:rsidP="00BF0E56">
            <w:pPr>
              <w:pStyle w:val="04TEXTOTABELAS"/>
              <w:rPr>
                <w:rStyle w:val="TextoBold"/>
                <w:szCs w:val="20"/>
              </w:rPr>
            </w:pPr>
          </w:p>
        </w:tc>
        <w:tc>
          <w:tcPr>
            <w:tcW w:w="1101" w:type="pct"/>
          </w:tcPr>
          <w:p w:rsidR="006E187D" w:rsidRPr="0083187E" w:rsidRDefault="006E187D" w:rsidP="00BF0E56">
            <w:pPr>
              <w:pStyle w:val="04TEXTOTABELAS"/>
            </w:pPr>
            <w:r w:rsidRPr="0083187E">
              <w:t xml:space="preserve">Polígonos: classificações quanto ao número de vértices, às medidas de lados e ângulos e ao paralelismo e </w:t>
            </w:r>
            <w:proofErr w:type="spellStart"/>
            <w:r w:rsidRPr="0083187E">
              <w:t>perpendicularismo</w:t>
            </w:r>
            <w:proofErr w:type="spellEnd"/>
            <w:r w:rsidRPr="0083187E">
              <w:t xml:space="preserve"> dos lados</w:t>
            </w:r>
          </w:p>
        </w:tc>
        <w:tc>
          <w:tcPr>
            <w:tcW w:w="1615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rPr>
                <w:rStyle w:val="TextoBold"/>
                <w:szCs w:val="20"/>
              </w:rPr>
              <w:t>(EF06MA18)</w:t>
            </w:r>
            <w:r w:rsidRPr="0083187E">
              <w:t xml:space="preserve"> Reconhecer, nomear e comparar polígonos, considerando lados, vértices e ângulos, e classificá-los em regulares e não regulares, tanto em suas representações no plano como em faces de poliedros.</w:t>
            </w:r>
          </w:p>
        </w:tc>
      </w:tr>
      <w:tr w:rsidR="0083187E" w:rsidRPr="0083187E" w:rsidTr="006E187D">
        <w:tc>
          <w:tcPr>
            <w:tcW w:w="1208" w:type="pct"/>
            <w:vMerge w:val="restart"/>
          </w:tcPr>
          <w:p w:rsidR="00105AB5" w:rsidRPr="0083187E" w:rsidRDefault="00105AB5" w:rsidP="00BF0E56">
            <w:pPr>
              <w:pStyle w:val="04TEXTOTABELAS"/>
              <w:rPr>
                <w:rStyle w:val="TextoBold"/>
                <w:szCs w:val="20"/>
              </w:rPr>
            </w:pPr>
            <w:r w:rsidRPr="0083187E">
              <w:rPr>
                <w:rStyle w:val="TextoBold"/>
                <w:szCs w:val="20"/>
              </w:rPr>
              <w:t>Capítulo 11 – Comprimentos e áreas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1. </w:t>
            </w:r>
            <w:r w:rsidR="00105AB5" w:rsidRPr="0083187E">
              <w:t>Conhec</w:t>
            </w:r>
            <w:r w:rsidR="006E187D">
              <w:t>endo algumas unidades de medida</w:t>
            </w:r>
            <w:r w:rsidR="00105AB5" w:rsidRPr="0083187E">
              <w:t xml:space="preserve"> de comprimento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2. </w:t>
            </w:r>
            <w:r w:rsidR="00105AB5" w:rsidRPr="0083187E">
              <w:t>Metro, seus múltiplos e submúltiplos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3. </w:t>
            </w:r>
            <w:r w:rsidR="00105AB5" w:rsidRPr="0083187E">
              <w:t>Perímetro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4. </w:t>
            </w:r>
            <w:r w:rsidR="00105AB5" w:rsidRPr="0083187E">
              <w:t>Medindo superfícies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5. </w:t>
            </w:r>
            <w:r w:rsidR="00105AB5" w:rsidRPr="0083187E">
              <w:t>Metro quadrado, seus múltiplos e submúltiplos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6. </w:t>
            </w:r>
            <w:r w:rsidR="00105AB5" w:rsidRPr="0083187E">
              <w:t>Medidas agrárias</w:t>
            </w:r>
          </w:p>
          <w:p w:rsidR="00105AB5" w:rsidRDefault="0083187E" w:rsidP="00BF0E56">
            <w:pPr>
              <w:pStyle w:val="04TEXTOTABELAS"/>
            </w:pPr>
            <w:r>
              <w:t xml:space="preserve">7. </w:t>
            </w:r>
            <w:r w:rsidR="00105AB5" w:rsidRPr="0083187E">
              <w:t xml:space="preserve">Área da superfície retangular </w:t>
            </w:r>
          </w:p>
          <w:p w:rsidR="0083187E" w:rsidRDefault="0083187E" w:rsidP="00BF0E56">
            <w:pPr>
              <w:pStyle w:val="04TEXTOTABELAS"/>
            </w:pPr>
          </w:p>
          <w:p w:rsidR="00105AB5" w:rsidRPr="0083187E" w:rsidRDefault="00105AB5" w:rsidP="00BF0E56">
            <w:pPr>
              <w:pStyle w:val="04TEXTOTABELAS"/>
              <w:rPr>
                <w:rStyle w:val="TextoBold"/>
                <w:szCs w:val="20"/>
              </w:rPr>
            </w:pPr>
            <w:r w:rsidRPr="0083187E">
              <w:rPr>
                <w:rStyle w:val="TextoBold"/>
                <w:szCs w:val="20"/>
              </w:rPr>
              <w:t>Capítulo</w:t>
            </w:r>
            <w:r w:rsidR="006E187D">
              <w:rPr>
                <w:rStyle w:val="TextoBold"/>
                <w:szCs w:val="20"/>
              </w:rPr>
              <w:t xml:space="preserve"> 12 – Outras unidades de medida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1. </w:t>
            </w:r>
            <w:r w:rsidR="00105AB5" w:rsidRPr="0083187E">
              <w:t>Unidades de medida de tempo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2. </w:t>
            </w:r>
            <w:r w:rsidR="00105AB5" w:rsidRPr="0083187E">
              <w:t>Volume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3. </w:t>
            </w:r>
            <w:r w:rsidR="00105AB5" w:rsidRPr="0083187E">
              <w:t>Unidades de medida de capacidade</w:t>
            </w:r>
          </w:p>
          <w:p w:rsidR="00105AB5" w:rsidRPr="0083187E" w:rsidRDefault="0083187E" w:rsidP="00BF0E56">
            <w:pPr>
              <w:pStyle w:val="04TEXTOTABELAS"/>
            </w:pPr>
            <w:r>
              <w:t xml:space="preserve">4. </w:t>
            </w:r>
            <w:r w:rsidR="00105AB5" w:rsidRPr="0083187E">
              <w:t>Medindo a massa de um corpo</w:t>
            </w:r>
          </w:p>
        </w:tc>
        <w:tc>
          <w:tcPr>
            <w:tcW w:w="1076" w:type="pct"/>
            <w:vMerge w:val="restart"/>
          </w:tcPr>
          <w:p w:rsidR="00105AB5" w:rsidRPr="0083187E" w:rsidRDefault="00105AB5" w:rsidP="00BF0E56">
            <w:pPr>
              <w:pStyle w:val="04TEXTOTABELAS"/>
              <w:rPr>
                <w:rStyle w:val="TextoBold"/>
                <w:szCs w:val="20"/>
              </w:rPr>
            </w:pPr>
            <w:r w:rsidRPr="0083187E">
              <w:rPr>
                <w:rStyle w:val="TextoBold"/>
                <w:szCs w:val="20"/>
              </w:rPr>
              <w:t>Grandezas e medidas</w:t>
            </w:r>
          </w:p>
        </w:tc>
        <w:tc>
          <w:tcPr>
            <w:tcW w:w="1101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t>Problemas sobre medidas envolvendo grandezas como comprimento, massa, tempo, temperatura, área, capacidade e volume</w:t>
            </w:r>
          </w:p>
        </w:tc>
        <w:tc>
          <w:tcPr>
            <w:tcW w:w="1615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rPr>
                <w:rStyle w:val="TextoBold"/>
                <w:szCs w:val="20"/>
              </w:rPr>
              <w:t>(EF06MA24)</w:t>
            </w:r>
            <w:r w:rsidRPr="0083187E">
              <w:t xml:space="preserve">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</w:tc>
      </w:tr>
      <w:tr w:rsidR="0083187E" w:rsidRPr="0083187E" w:rsidTr="006E187D">
        <w:trPr>
          <w:trHeight w:val="2315"/>
        </w:trPr>
        <w:tc>
          <w:tcPr>
            <w:tcW w:w="1208" w:type="pct"/>
            <w:vMerge/>
          </w:tcPr>
          <w:p w:rsidR="00105AB5" w:rsidRPr="0083187E" w:rsidRDefault="00105AB5" w:rsidP="00BF0E56">
            <w:pPr>
              <w:pStyle w:val="04TEXTOTABELAS"/>
              <w:rPr>
                <w:sz w:val="20"/>
              </w:rPr>
            </w:pPr>
          </w:p>
        </w:tc>
        <w:tc>
          <w:tcPr>
            <w:tcW w:w="1076" w:type="pct"/>
            <w:vMerge/>
          </w:tcPr>
          <w:p w:rsidR="00105AB5" w:rsidRPr="0083187E" w:rsidRDefault="00105AB5" w:rsidP="00BF0E56">
            <w:pPr>
              <w:pStyle w:val="04TEXTOTABELAS"/>
              <w:rPr>
                <w:sz w:val="20"/>
              </w:rPr>
            </w:pPr>
          </w:p>
        </w:tc>
        <w:tc>
          <w:tcPr>
            <w:tcW w:w="1101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t>Perímetro de um quadrado como grandeza proporcional à medida do lado</w:t>
            </w:r>
          </w:p>
        </w:tc>
        <w:tc>
          <w:tcPr>
            <w:tcW w:w="1615" w:type="pct"/>
          </w:tcPr>
          <w:p w:rsidR="00105AB5" w:rsidRPr="0083187E" w:rsidRDefault="006E187D" w:rsidP="00BF0E56">
            <w:pPr>
              <w:pStyle w:val="04TEXTOTABELAS"/>
            </w:pPr>
            <w:r w:rsidRPr="0083187E">
              <w:rPr>
                <w:rStyle w:val="TextoBold"/>
                <w:szCs w:val="20"/>
              </w:rPr>
              <w:t>(EF06MA29)</w:t>
            </w:r>
            <w:r w:rsidRPr="0083187E">
              <w:t xml:space="preserve">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</w:tc>
      </w:tr>
    </w:tbl>
    <w:p w:rsidR="00105AB5" w:rsidRPr="0083187E" w:rsidRDefault="00105AB5" w:rsidP="00105AB5">
      <w:pPr>
        <w:rPr>
          <w:b/>
          <w:sz w:val="20"/>
          <w:szCs w:val="20"/>
        </w:rPr>
      </w:pPr>
      <w:r w:rsidRPr="0083187E">
        <w:rPr>
          <w:sz w:val="20"/>
          <w:szCs w:val="20"/>
        </w:rPr>
        <w:br w:type="page"/>
      </w:r>
    </w:p>
    <w:p w:rsidR="000B2FA1" w:rsidRDefault="00211020" w:rsidP="00BF0E56">
      <w:pPr>
        <w:pStyle w:val="01TITULO2"/>
      </w:pPr>
      <w:r w:rsidRPr="0079165F">
        <w:lastRenderedPageBreak/>
        <w:t>H</w:t>
      </w:r>
      <w:r w:rsidR="000B2FA1" w:rsidRPr="0079165F">
        <w:t>abilidades e práticas pedagógicas</w:t>
      </w:r>
    </w:p>
    <w:p w:rsidR="006E187D" w:rsidRPr="006629E0" w:rsidRDefault="006E187D" w:rsidP="006E187D">
      <w:pPr>
        <w:pStyle w:val="02TEXTOPRINCIPAL"/>
        <w:rPr>
          <w:b/>
          <w:sz w:val="22"/>
        </w:rPr>
      </w:pPr>
      <w:bookmarkStart w:id="0" w:name="_Hlk516400879"/>
      <w:r>
        <w:t>O quadro a seguir apresenta</w:t>
      </w:r>
      <w:r w:rsidRPr="004D2FEF">
        <w:t xml:space="preserve"> sugestões de </w:t>
      </w:r>
      <w:r w:rsidRPr="004D2FEF">
        <w:rPr>
          <w:rStyle w:val="TextoBold"/>
          <w:sz w:val="22"/>
        </w:rPr>
        <w:t xml:space="preserve">práticas pedagógicas </w:t>
      </w:r>
      <w:r w:rsidRPr="004D2FEF">
        <w:t xml:space="preserve">para </w:t>
      </w:r>
      <w:r w:rsidRPr="00DE1AF5">
        <w:t>o</w:t>
      </w:r>
      <w:r w:rsidRPr="004D2FEF">
        <w:t xml:space="preserve"> desenvolvimento das </w:t>
      </w:r>
      <w:r w:rsidRPr="004D2FEF">
        <w:rPr>
          <w:rStyle w:val="TextoBold"/>
          <w:sz w:val="22"/>
        </w:rPr>
        <w:t xml:space="preserve">habilidades </w:t>
      </w:r>
      <w:r w:rsidRPr="004D2FEF">
        <w:t xml:space="preserve">indicadas </w:t>
      </w:r>
      <w:r>
        <w:t>para</w:t>
      </w:r>
      <w:r w:rsidRPr="004D2FEF">
        <w:t xml:space="preserve"> cada bimestre</w:t>
      </w:r>
      <w:r w:rsidRPr="00302FDC">
        <w:rPr>
          <w:rStyle w:val="TextoBold"/>
          <w:b w:val="0"/>
          <w:sz w:val="22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835"/>
        <w:gridCol w:w="5067"/>
      </w:tblGrid>
      <w:tr w:rsidR="00105AB5" w:rsidRPr="00D0709F" w:rsidTr="006E187D">
        <w:trPr>
          <w:trHeight w:val="531"/>
        </w:trPr>
        <w:tc>
          <w:tcPr>
            <w:tcW w:w="1208" w:type="pct"/>
            <w:shd w:val="clear" w:color="auto" w:fill="auto"/>
          </w:tcPr>
          <w:p w:rsidR="00105AB5" w:rsidRPr="00D0709F" w:rsidRDefault="00105AB5" w:rsidP="00BF0E56">
            <w:pPr>
              <w:pStyle w:val="03TITULOTABELAS1"/>
            </w:pPr>
            <w:r>
              <w:t>Objetos de conhecimento da BNCC</w:t>
            </w:r>
          </w:p>
        </w:tc>
        <w:tc>
          <w:tcPr>
            <w:tcW w:w="1360" w:type="pct"/>
            <w:shd w:val="clear" w:color="auto" w:fill="auto"/>
          </w:tcPr>
          <w:p w:rsidR="00105AB5" w:rsidRPr="00D0709F" w:rsidRDefault="00105AB5" w:rsidP="00BF0E56">
            <w:pPr>
              <w:pStyle w:val="03TITULOTABELAS1"/>
            </w:pPr>
            <w:r>
              <w:t xml:space="preserve">Habilidades da </w:t>
            </w:r>
            <w:r w:rsidR="006E187D">
              <w:br/>
            </w:r>
            <w:r>
              <w:t>BNCC</w:t>
            </w:r>
          </w:p>
        </w:tc>
        <w:tc>
          <w:tcPr>
            <w:tcW w:w="2431" w:type="pct"/>
            <w:shd w:val="clear" w:color="auto" w:fill="auto"/>
          </w:tcPr>
          <w:p w:rsidR="00105AB5" w:rsidRPr="00D0709F" w:rsidRDefault="00105AB5" w:rsidP="00BF0E56">
            <w:pPr>
              <w:pStyle w:val="03TITULOTABELAS1"/>
            </w:pPr>
            <w:r w:rsidRPr="00D0709F">
              <w:t>Práticas pedagógicas</w:t>
            </w:r>
            <w:r>
              <w:t xml:space="preserve"> </w:t>
            </w:r>
          </w:p>
        </w:tc>
      </w:tr>
      <w:tr w:rsidR="00FF46F6" w:rsidRPr="00D0709F" w:rsidTr="006E187D">
        <w:trPr>
          <w:trHeight w:val="440"/>
        </w:trPr>
        <w:tc>
          <w:tcPr>
            <w:tcW w:w="1208" w:type="pct"/>
          </w:tcPr>
          <w:p w:rsidR="00FF46F6" w:rsidRDefault="00FF46F6" w:rsidP="00BF0E56">
            <w:pPr>
              <w:pStyle w:val="04TEXTOTABELAS"/>
            </w:pPr>
            <w:r>
              <w:t>Prismas e pirâmides: planificações e relações entre seus elementos (vértices, faces e arestas)</w:t>
            </w:r>
          </w:p>
        </w:tc>
        <w:tc>
          <w:tcPr>
            <w:tcW w:w="1360" w:type="pct"/>
          </w:tcPr>
          <w:p w:rsidR="00FF46F6" w:rsidRPr="00497810" w:rsidRDefault="00FF46F6" w:rsidP="006E187D">
            <w:pPr>
              <w:pStyle w:val="04TEXTOTABELAS"/>
              <w:rPr>
                <w:rStyle w:val="TextoBold"/>
              </w:rPr>
            </w:pPr>
            <w:r w:rsidRPr="00497810">
              <w:rPr>
                <w:rStyle w:val="TextoBold"/>
              </w:rPr>
              <w:t>(EF06MA17)</w:t>
            </w:r>
            <w:r w:rsidRPr="00C0670E">
              <w:rPr>
                <w:rFonts w:ascii="Gotham-Medium" w:hAnsi="Gotham-Medium" w:cs="Gotham-Medium"/>
                <w:color w:val="C00000"/>
              </w:rPr>
              <w:t xml:space="preserve"> </w:t>
            </w:r>
            <w:r>
              <w:t>Quantificar e estabelecer relações entre o número de vértices, faces e arestas de prismas e pirâmides, em função do seu polígono da base, para resolver problemas e desenvolver a percepção espacial.</w:t>
            </w:r>
          </w:p>
        </w:tc>
        <w:tc>
          <w:tcPr>
            <w:tcW w:w="2431" w:type="pct"/>
          </w:tcPr>
          <w:p w:rsidR="00FF46F6" w:rsidRPr="00FF46F6" w:rsidRDefault="00024CC4" w:rsidP="00FF46F6">
            <w:pPr>
              <w:pStyle w:val="02TEXTOPRINCIPALBULLET"/>
            </w:pPr>
            <w:r>
              <w:t>Oriente</w:t>
            </w:r>
            <w:r w:rsidR="00A942DD">
              <w:t xml:space="preserve"> os alunos na execução da</w:t>
            </w:r>
            <w:r w:rsidR="00FF46F6" w:rsidRPr="00FF46F6">
              <w:t xml:space="preserve"> receita encontrada na atividade da </w:t>
            </w:r>
            <w:proofErr w:type="gramStart"/>
            <w:r w:rsidR="00FF46F6" w:rsidRPr="00FF46F6">
              <w:t xml:space="preserve">seção </w:t>
            </w:r>
            <w:r w:rsidR="00FF46F6" w:rsidRPr="00ED20E1">
              <w:t>Diversificando</w:t>
            </w:r>
            <w:proofErr w:type="gramEnd"/>
            <w:r w:rsidR="00FF46F6" w:rsidRPr="00FF46F6">
              <w:t xml:space="preserve">, página 278 do livro do </w:t>
            </w:r>
            <w:r w:rsidR="00724511">
              <w:t>estudante</w:t>
            </w:r>
            <w:r w:rsidR="00FF46F6" w:rsidRPr="00FF46F6">
              <w:t xml:space="preserve">. </w:t>
            </w:r>
            <w:r w:rsidR="00A942DD">
              <w:t>C</w:t>
            </w:r>
            <w:r w:rsidR="00FF46F6" w:rsidRPr="00FF46F6">
              <w:rPr>
                <w:rStyle w:val="TextoBold"/>
                <w:b w:val="0"/>
                <w:sz w:val="21"/>
              </w:rPr>
              <w:t>om a massinha</w:t>
            </w:r>
            <w:r w:rsidR="00A942DD">
              <w:rPr>
                <w:rStyle w:val="TextoBold"/>
                <w:b w:val="0"/>
                <w:sz w:val="21"/>
              </w:rPr>
              <w:t>,</w:t>
            </w:r>
            <w:r>
              <w:rPr>
                <w:rStyle w:val="TextoBold"/>
                <w:b w:val="0"/>
                <w:sz w:val="21"/>
              </w:rPr>
              <w:t xml:space="preserve"> construa</w:t>
            </w:r>
            <w:r w:rsidR="00FF46F6" w:rsidRPr="00FF46F6">
              <w:rPr>
                <w:rStyle w:val="TextoBold"/>
                <w:b w:val="0"/>
                <w:sz w:val="21"/>
              </w:rPr>
              <w:t xml:space="preserve"> prismas e pirâmides</w:t>
            </w:r>
            <w:r w:rsidR="00FF46F6" w:rsidRPr="00FF46F6">
              <w:t>. Ao manipular</w:t>
            </w:r>
            <w:r>
              <w:t xml:space="preserve"> os moldes construídos, elabore</w:t>
            </w:r>
            <w:r w:rsidR="00FF46F6" w:rsidRPr="00FF46F6">
              <w:t xml:space="preserve"> duas tabelas, uma para prismas e outra para pirâmides, que organize</w:t>
            </w:r>
            <w:r w:rsidR="00A942DD">
              <w:t>m</w:t>
            </w:r>
            <w:r w:rsidR="00FF46F6" w:rsidRPr="00FF46F6">
              <w:t xml:space="preserve"> os nomes, os números de vértices, de arestas e de faces. Analisando as tabelas, os alunos devem estabelecer uma relação entre os elementos de cada uma delas.</w:t>
            </w:r>
          </w:p>
          <w:p w:rsidR="00FF46F6" w:rsidRDefault="00024CC4" w:rsidP="00A942DD">
            <w:pPr>
              <w:pStyle w:val="02TEXTOPRINCIPALBULLET"/>
            </w:pPr>
            <w:r>
              <w:t>Oriente</w:t>
            </w:r>
            <w:r w:rsidR="00FF46F6" w:rsidRPr="005170A1">
              <w:t xml:space="preserve"> os alunos </w:t>
            </w:r>
            <w:r w:rsidR="00A942DD">
              <w:t>n</w:t>
            </w:r>
            <w:r w:rsidR="00FF46F6" w:rsidRPr="005170A1">
              <w:t xml:space="preserve">a </w:t>
            </w:r>
            <w:r w:rsidR="00A942DD">
              <w:t>elaboração</w:t>
            </w:r>
            <w:r w:rsidR="00FF46F6" w:rsidRPr="005170A1">
              <w:t xml:space="preserve"> de </w:t>
            </w:r>
            <w:r w:rsidR="00FF46F6" w:rsidRPr="00A942DD">
              <w:t>planificações de pirâmides e prismas para a construção de modelos dessas</w:t>
            </w:r>
            <w:r w:rsidR="00FF46F6" w:rsidRPr="005170A1">
              <w:t xml:space="preserve"> figuras. Explor</w:t>
            </w:r>
            <w:r>
              <w:t>e</w:t>
            </w:r>
            <w:r w:rsidR="00FF46F6" w:rsidRPr="005170A1">
              <w:t xml:space="preserve"> os elementos dessas figuras na planificação e no modelo construído</w:t>
            </w:r>
            <w:r w:rsidR="00A942DD">
              <w:t>,</w:t>
            </w:r>
            <w:r w:rsidR="00FF46F6" w:rsidRPr="005170A1">
              <w:t xml:space="preserve"> propondo </w:t>
            </w:r>
            <w:r w:rsidR="00A942DD">
              <w:t>a</w:t>
            </w:r>
            <w:r w:rsidR="00FF46F6" w:rsidRPr="005170A1">
              <w:t xml:space="preserve"> comparação entre eles.</w:t>
            </w:r>
          </w:p>
        </w:tc>
      </w:tr>
      <w:tr w:rsidR="00FF46F6" w:rsidRPr="00D0709F" w:rsidTr="006E187D">
        <w:trPr>
          <w:trHeight w:val="440"/>
        </w:trPr>
        <w:tc>
          <w:tcPr>
            <w:tcW w:w="1208" w:type="pct"/>
          </w:tcPr>
          <w:p w:rsidR="00FF46F6" w:rsidRPr="00D0709F" w:rsidRDefault="00FF46F6" w:rsidP="00BF0E56">
            <w:pPr>
              <w:pStyle w:val="04TEXTOTABELAS"/>
              <w:rPr>
                <w:b/>
              </w:rPr>
            </w:pPr>
            <w:r>
              <w:t xml:space="preserve">Polígonos: classificações quanto ao número de vértices, às medidas de lados e ângulos e ao paralelismo e </w:t>
            </w:r>
            <w:proofErr w:type="spellStart"/>
            <w:r>
              <w:t>perpendicularismo</w:t>
            </w:r>
            <w:proofErr w:type="spellEnd"/>
            <w:r>
              <w:t xml:space="preserve"> dos lados</w:t>
            </w:r>
          </w:p>
        </w:tc>
        <w:tc>
          <w:tcPr>
            <w:tcW w:w="1360" w:type="pct"/>
          </w:tcPr>
          <w:p w:rsidR="00FF46F6" w:rsidRPr="00D0709F" w:rsidRDefault="00FF46F6" w:rsidP="006E187D">
            <w:pPr>
              <w:pStyle w:val="04TEXTOTABELAS"/>
              <w:rPr>
                <w:b/>
              </w:rPr>
            </w:pPr>
            <w:r w:rsidRPr="00497810">
              <w:rPr>
                <w:rStyle w:val="TextoBold"/>
              </w:rPr>
              <w:t>(EF06MA18)</w:t>
            </w:r>
            <w:r w:rsidRPr="00D0709F">
              <w:rPr>
                <w:color w:val="C00000"/>
              </w:rPr>
              <w:t xml:space="preserve"> </w:t>
            </w:r>
            <w:r>
              <w:t>Reconhecer, nomear e comparar polígonos, considerando lados, vértices e ângulos, e classificá-los em regulares e não regulares, tanto em suas representações no plano como em faces de poliedros.</w:t>
            </w:r>
          </w:p>
        </w:tc>
        <w:tc>
          <w:tcPr>
            <w:tcW w:w="2431" w:type="pct"/>
          </w:tcPr>
          <w:p w:rsidR="00FF46F6" w:rsidRDefault="00024CC4" w:rsidP="00BF0E56">
            <w:pPr>
              <w:pStyle w:val="02TEXTOPRINCIPALBULLET"/>
            </w:pPr>
            <w:r>
              <w:t>Distribua</w:t>
            </w:r>
            <w:r w:rsidR="00FF46F6">
              <w:t xml:space="preserve"> canudinhos e linha para os alunos construírem, em grupo, representações de polígonos regulares e não</w:t>
            </w:r>
            <w:r w:rsidR="00A942DD">
              <w:t xml:space="preserve"> </w:t>
            </w:r>
            <w:r w:rsidR="00FF46F6">
              <w:t>regulares, identificando e quantificando nessas construções os elementos dos polígonos.</w:t>
            </w:r>
          </w:p>
          <w:p w:rsidR="00FF46F6" w:rsidRPr="00C83449" w:rsidRDefault="00024CC4" w:rsidP="00BF0E56">
            <w:pPr>
              <w:pStyle w:val="02TEXTOPRINCIPALBULLET"/>
              <w:rPr>
                <w:b/>
              </w:rPr>
            </w:pPr>
            <w:r>
              <w:t xml:space="preserve">No </w:t>
            </w:r>
            <w:proofErr w:type="spellStart"/>
            <w:r>
              <w:t>geoplano</w:t>
            </w:r>
            <w:proofErr w:type="spellEnd"/>
            <w:r>
              <w:t>, apresente</w:t>
            </w:r>
            <w:r w:rsidR="00FF46F6">
              <w:t xml:space="preserve"> polígonos não</w:t>
            </w:r>
            <w:r w:rsidR="00A942DD">
              <w:t xml:space="preserve"> </w:t>
            </w:r>
            <w:r>
              <w:t>regulares e proponha</w:t>
            </w:r>
            <w:r w:rsidR="00FF46F6">
              <w:t xml:space="preserve"> </w:t>
            </w:r>
            <w:r w:rsidR="00A942DD">
              <w:t>a</w:t>
            </w:r>
            <w:r w:rsidR="00FF46F6">
              <w:t xml:space="preserve">os alunos </w:t>
            </w:r>
            <w:r w:rsidR="00A942DD">
              <w:t xml:space="preserve">que </w:t>
            </w:r>
            <w:r w:rsidR="00FF46F6">
              <w:t>o</w:t>
            </w:r>
            <w:r w:rsidR="002409EB">
              <w:t>s</w:t>
            </w:r>
            <w:r w:rsidR="00FF46F6">
              <w:t xml:space="preserve"> modifiquem de modo a obter um polígono regular com o mesmo número de lados.</w:t>
            </w:r>
          </w:p>
          <w:p w:rsidR="00FF46F6" w:rsidRPr="00086977" w:rsidRDefault="00024CC4" w:rsidP="00BF0E56">
            <w:pPr>
              <w:pStyle w:val="02TEXTOPRINCIPALBULLET"/>
            </w:pPr>
            <w:r>
              <w:t>Apresente</w:t>
            </w:r>
            <w:r w:rsidR="00FF46F6">
              <w:t xml:space="preserve"> moldes de poliedros e de prismas para </w:t>
            </w:r>
            <w:r w:rsidR="00A942DD">
              <w:t>os alunos identificar</w:t>
            </w:r>
            <w:r w:rsidR="00FF46F6">
              <w:t>em polígonos que compõem as suas faces.</w:t>
            </w:r>
          </w:p>
          <w:p w:rsidR="00FF46F6" w:rsidRPr="00D0709F" w:rsidRDefault="00FF46F6" w:rsidP="00A942DD">
            <w:pPr>
              <w:pStyle w:val="02TEXTOPRINCIPALBULLET"/>
              <w:rPr>
                <w:b/>
              </w:rPr>
            </w:pPr>
            <w:r>
              <w:t>Usando papel q</w:t>
            </w:r>
            <w:r w:rsidR="00024CC4">
              <w:t>uadriculado e cartolina, proponha</w:t>
            </w:r>
            <w:r>
              <w:t xml:space="preserve"> </w:t>
            </w:r>
            <w:r w:rsidR="00A942DD">
              <w:t xml:space="preserve">que </w:t>
            </w:r>
            <w:r>
              <w:t xml:space="preserve">os alunos, em grupos, </w:t>
            </w:r>
            <w:r w:rsidR="00A942DD">
              <w:t>construam</w:t>
            </w:r>
            <w:r>
              <w:t xml:space="preserve"> um painel com polígonos. A composição dos polígonos no painel deve representar um tema a ser escolhido pelo grupo (paisagem, animais, pessoas etc.). </w:t>
            </w:r>
          </w:p>
        </w:tc>
      </w:tr>
    </w:tbl>
    <w:p w:rsidR="00FE7E6B" w:rsidRDefault="00FE7E6B" w:rsidP="00FE7E6B">
      <w:pPr>
        <w:pStyle w:val="06CREDITO"/>
        <w:jc w:val="right"/>
      </w:pPr>
      <w:r>
        <w:t>(continua)</w:t>
      </w:r>
    </w:p>
    <w:p w:rsidR="00FE7E6B" w:rsidRDefault="00FF46F6" w:rsidP="00FE7E6B">
      <w:pPr>
        <w:pStyle w:val="06CREDITO"/>
      </w:pPr>
      <w:r>
        <w:br w:type="page"/>
      </w:r>
      <w:r w:rsidR="00FE7E6B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835"/>
        <w:gridCol w:w="5067"/>
      </w:tblGrid>
      <w:tr w:rsidR="00C45E52" w:rsidRPr="00D0709F" w:rsidTr="006E187D">
        <w:trPr>
          <w:trHeight w:val="765"/>
        </w:trPr>
        <w:tc>
          <w:tcPr>
            <w:tcW w:w="1208" w:type="pct"/>
          </w:tcPr>
          <w:p w:rsidR="00C45E52" w:rsidRDefault="00C45E52" w:rsidP="00BF0E56">
            <w:pPr>
              <w:pStyle w:val="04TEXTOTABELAS"/>
            </w:pPr>
            <w:r w:rsidRPr="00497810">
              <w:t>Problemas sobre medidas envolvendo grandezas como comprimento, massa, tempo, temperatura, área, capacidade e volume</w:t>
            </w:r>
          </w:p>
        </w:tc>
        <w:tc>
          <w:tcPr>
            <w:tcW w:w="1360" w:type="pct"/>
          </w:tcPr>
          <w:p w:rsidR="00C45E52" w:rsidRPr="00497810" w:rsidRDefault="00C45E52" w:rsidP="00BF0E56">
            <w:pPr>
              <w:pStyle w:val="04TEXTOTABELAS"/>
              <w:rPr>
                <w:rStyle w:val="TextoBold"/>
              </w:rPr>
            </w:pPr>
            <w:r w:rsidRPr="00497810">
              <w:rPr>
                <w:rStyle w:val="TextoBold"/>
              </w:rPr>
              <w:t xml:space="preserve">(EF06MA24) </w:t>
            </w:r>
            <w:r>
              <w:t>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</w:tc>
        <w:tc>
          <w:tcPr>
            <w:tcW w:w="2431" w:type="pct"/>
          </w:tcPr>
          <w:p w:rsidR="00C45E52" w:rsidRDefault="001634D6" w:rsidP="00C45E52">
            <w:pPr>
              <w:pStyle w:val="02TEXTOPRINCIPALBULLET"/>
            </w:pPr>
            <w:r>
              <w:t>Entregue</w:t>
            </w:r>
            <w:r w:rsidR="00C45E52">
              <w:t xml:space="preserve"> aos </w:t>
            </w:r>
            <w:r w:rsidR="00C45E52" w:rsidRPr="00C45E52">
              <w:t>alunos textos de jornais e revistas</w:t>
            </w:r>
            <w:r w:rsidR="00C45E52">
              <w:t xml:space="preserve"> nos quais possam ser problematizados conteúdos de unidades de medida em diversos contextos, além de outros, como água em alimentos, sustentabilidade e limpeza urbana, a exemplo d</w:t>
            </w:r>
            <w:r w:rsidR="002409EB">
              <w:t>as</w:t>
            </w:r>
            <w:r w:rsidR="00C45E52">
              <w:t xml:space="preserve"> atividades nas páginas 318 e 322 do livro </w:t>
            </w:r>
            <w:r w:rsidR="00C45E52" w:rsidRPr="00497810">
              <w:t xml:space="preserve">do </w:t>
            </w:r>
            <w:r w:rsidR="00C45E52">
              <w:t>estudante.</w:t>
            </w:r>
          </w:p>
          <w:p w:rsidR="00C45E52" w:rsidRPr="004E6B03" w:rsidRDefault="001634D6" w:rsidP="00C45E52">
            <w:pPr>
              <w:pStyle w:val="02TEXTOPRINCIPALBULLET"/>
            </w:pPr>
            <w:r>
              <w:t>Proponha</w:t>
            </w:r>
            <w:r w:rsidR="00C45E52">
              <w:t xml:space="preserve"> que os alunos façam </w:t>
            </w:r>
            <w:r w:rsidR="00C45E52" w:rsidRPr="001634D6">
              <w:t xml:space="preserve">estimativas </w:t>
            </w:r>
            <w:r w:rsidR="00C45E52">
              <w:t xml:space="preserve">em situações de diversas grandezas de medida (comprimento, massa, tempo, temperatura, área, capacidade e volume).  </w:t>
            </w:r>
          </w:p>
          <w:p w:rsidR="00C45E52" w:rsidRDefault="001634D6" w:rsidP="00C45E52">
            <w:pPr>
              <w:pStyle w:val="02TEXTOPRINCIPALBULLET"/>
            </w:pPr>
            <w:r>
              <w:t>Oriente</w:t>
            </w:r>
            <w:r w:rsidR="00C45E52" w:rsidRPr="00C45E52">
              <w:t xml:space="preserve"> os alunos </w:t>
            </w:r>
            <w:r w:rsidR="00C45E52">
              <w:t>n</w:t>
            </w:r>
            <w:r w:rsidR="00C45E52" w:rsidRPr="00C45E52">
              <w:t>a construção, com materiais recicláveis, de objetos para medir capacidade (caixa cúbica de 1 litro) e tempo (ampulheta)</w:t>
            </w:r>
            <w:r w:rsidR="00C45E52">
              <w:t>, realizando</w:t>
            </w:r>
            <w:r w:rsidR="00C45E52" w:rsidRPr="00C45E52">
              <w:t xml:space="preserve"> com eles medidas em atividades práticas. </w:t>
            </w:r>
          </w:p>
        </w:tc>
      </w:tr>
      <w:tr w:rsidR="00C45E52" w:rsidRPr="00D0709F" w:rsidTr="006E187D">
        <w:trPr>
          <w:trHeight w:val="765"/>
        </w:trPr>
        <w:tc>
          <w:tcPr>
            <w:tcW w:w="1208" w:type="pct"/>
          </w:tcPr>
          <w:p w:rsidR="00C45E52" w:rsidRDefault="00C45E52" w:rsidP="00BF0E56">
            <w:pPr>
              <w:pStyle w:val="04TEXTOTABELAS"/>
              <w:rPr>
                <w:b/>
                <w:bCs/>
              </w:rPr>
            </w:pPr>
            <w:r>
              <w:t>Perímetro de um quadrado como grandeza proporcional à medida do lado</w:t>
            </w:r>
          </w:p>
        </w:tc>
        <w:tc>
          <w:tcPr>
            <w:tcW w:w="1360" w:type="pct"/>
          </w:tcPr>
          <w:p w:rsidR="00C45E52" w:rsidRPr="001D0623" w:rsidRDefault="00C45E52" w:rsidP="00BF0E56">
            <w:pPr>
              <w:pStyle w:val="04TEXTOTABELAS"/>
            </w:pPr>
            <w:r w:rsidRPr="00497810">
              <w:rPr>
                <w:rStyle w:val="TextoBold"/>
              </w:rPr>
              <w:t>(EF06MA29)</w:t>
            </w:r>
            <w:r>
              <w:rPr>
                <w:rFonts w:ascii="Gotham-Medium" w:hAnsi="Gotham-Medium" w:cs="Gotham-Medium"/>
              </w:rPr>
              <w:t xml:space="preserve"> </w:t>
            </w:r>
            <w:r>
              <w:t>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</w:tc>
        <w:tc>
          <w:tcPr>
            <w:tcW w:w="2431" w:type="pct"/>
          </w:tcPr>
          <w:p w:rsidR="00C45E52" w:rsidRPr="00CA2C92" w:rsidRDefault="00C45E52" w:rsidP="00BF0E56">
            <w:pPr>
              <w:pStyle w:val="02TEXTOPRINCIPALBULLET"/>
            </w:pPr>
            <w:r>
              <w:t xml:space="preserve">Em um mesmo </w:t>
            </w:r>
            <w:proofErr w:type="spellStart"/>
            <w:r w:rsidRPr="00CA2C92">
              <w:t>geoplano</w:t>
            </w:r>
            <w:proofErr w:type="spellEnd"/>
            <w:r>
              <w:t>,</w:t>
            </w:r>
            <w:r w:rsidRPr="00CA2C92">
              <w:t xml:space="preserve"> </w:t>
            </w:r>
            <w:r>
              <w:t>a</w:t>
            </w:r>
            <w:r w:rsidR="001634D6">
              <w:t>presente</w:t>
            </w:r>
            <w:r>
              <w:t xml:space="preserve"> um retângulo usando fio amarelo e outro usando fio azul, cujos lados têm o dobro da medida do retâng</w:t>
            </w:r>
            <w:r w:rsidR="001634D6">
              <w:t>ulo anterior. A seguir, compare</w:t>
            </w:r>
            <w:r>
              <w:t xml:space="preserve"> os perímetros e as áreas</w:t>
            </w:r>
            <w:r w:rsidR="00ED20E1">
              <w:t xml:space="preserve"> desses retângulos.</w:t>
            </w:r>
            <w:r>
              <w:t xml:space="preserve"> Fazer o mesmo com outros retângulos, assim como com quadrados.</w:t>
            </w:r>
          </w:p>
          <w:p w:rsidR="00C45E52" w:rsidRDefault="00C45E52" w:rsidP="00BF0E56">
            <w:pPr>
              <w:pStyle w:val="02TEXTOPRINCIPALBULLET"/>
            </w:pPr>
            <w:r>
              <w:t xml:space="preserve">Em um </w:t>
            </w:r>
            <w:proofErr w:type="spellStart"/>
            <w:r w:rsidRPr="00CA2C92">
              <w:t>geoplano</w:t>
            </w:r>
            <w:proofErr w:type="spellEnd"/>
            <w:r>
              <w:t>,</w:t>
            </w:r>
            <w:r w:rsidRPr="00CA2C92">
              <w:t xml:space="preserve"> </w:t>
            </w:r>
            <w:r>
              <w:t>a</w:t>
            </w:r>
            <w:r w:rsidR="001634D6">
              <w:t>presente</w:t>
            </w:r>
            <w:r>
              <w:t xml:space="preserve"> um retângulo com lados medindo,</w:t>
            </w:r>
            <w:r w:rsidR="001634D6">
              <w:t xml:space="preserve"> por exemplo, 5 e 13, e calcule</w:t>
            </w:r>
            <w:r>
              <w:t xml:space="preserve"> a sua área. Depoi</w:t>
            </w:r>
            <w:r w:rsidR="001634D6">
              <w:t>s, mantendo o perímetro, mostre</w:t>
            </w:r>
            <w:r>
              <w:t xml:space="preserve"> outros retâ</w:t>
            </w:r>
            <w:r w:rsidR="001634D6">
              <w:t xml:space="preserve">ngulos nesse </w:t>
            </w:r>
            <w:proofErr w:type="spellStart"/>
            <w:r w:rsidR="001634D6">
              <w:t>geoplano</w:t>
            </w:r>
            <w:proofErr w:type="spellEnd"/>
            <w:r w:rsidR="001634D6">
              <w:t>. Solicite</w:t>
            </w:r>
            <w:r>
              <w:t xml:space="preserve"> aos alunos a construção de uma tabela com as medidas dos lados</w:t>
            </w:r>
            <w:r w:rsidR="001634D6">
              <w:t>, o perímetro e a área. Promova</w:t>
            </w:r>
            <w:r>
              <w:t xml:space="preserve"> uma discussão e uma conclusão sobre os dados da tabela.</w:t>
            </w:r>
          </w:p>
          <w:p w:rsidR="00C45E52" w:rsidRPr="00BF0E56" w:rsidRDefault="00C45E52" w:rsidP="00BF0E56">
            <w:pPr>
              <w:pStyle w:val="02TEXTOPRINCIPALBULLET"/>
            </w:pPr>
            <w:r w:rsidRPr="00497810">
              <w:t>Com a finalidade de avaliar os estudo</w:t>
            </w:r>
            <w:r w:rsidR="001634D6">
              <w:t>s realizados no bimestre, proponha</w:t>
            </w:r>
            <w:r w:rsidRPr="00497810">
              <w:t xml:space="preserve"> atividades que permitam ao</w:t>
            </w:r>
            <w:r w:rsidR="00BE2197">
              <w:t>s</w:t>
            </w:r>
            <w:r w:rsidRPr="00497810">
              <w:t xml:space="preserve"> aluno</w:t>
            </w:r>
            <w:r w:rsidR="00BE2197">
              <w:t>s</w:t>
            </w:r>
            <w:r w:rsidRPr="00497810">
              <w:t xml:space="preserve"> retomar, articular e aplicar os conteúdos</w:t>
            </w:r>
            <w:r>
              <w:t xml:space="preserve"> </w:t>
            </w:r>
            <w:r w:rsidRPr="00D0709F">
              <w:t>estudados.</w:t>
            </w:r>
          </w:p>
        </w:tc>
      </w:tr>
    </w:tbl>
    <w:p w:rsidR="00FF46F6" w:rsidRDefault="00FF46F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1" w:name="_Hlk522611138"/>
      <w:r>
        <w:br w:type="page"/>
      </w:r>
    </w:p>
    <w:p w:rsidR="00A20B49" w:rsidRPr="0079179C" w:rsidRDefault="00A20B49" w:rsidP="00A20B49">
      <w:pPr>
        <w:pStyle w:val="01TITULO2"/>
      </w:pPr>
      <w:bookmarkStart w:id="2" w:name="_Hlk525208455"/>
      <w:bookmarkEnd w:id="1"/>
      <w:r w:rsidRPr="0079179C">
        <w:lastRenderedPageBreak/>
        <w:t>Subsídios para o trabalho</w:t>
      </w:r>
    </w:p>
    <w:p w:rsidR="00A20B49" w:rsidRPr="00D1086D" w:rsidRDefault="00A20B49" w:rsidP="00A20B49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bookmarkStart w:id="3" w:name="_Hlk526251139"/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bookmarkStart w:id="4" w:name="_GoBack"/>
      <w:bookmarkEnd w:id="4"/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:rsidR="00024079" w:rsidRPr="003224AB" w:rsidRDefault="00024079" w:rsidP="00024079">
      <w:pPr>
        <w:pStyle w:val="02TEXTOPRINCIPALBULLET"/>
        <w:numPr>
          <w:ilvl w:val="0"/>
          <w:numId w:val="10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3"/>
    <w:p w:rsidR="00A20B49" w:rsidRDefault="00A20B49" w:rsidP="00A20B4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bookmarkStart w:id="5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5"/>
    <w:p w:rsidR="00A20B49" w:rsidRDefault="00A20B49" w:rsidP="00A20B49">
      <w:pPr>
        <w:pStyle w:val="01TITULO3"/>
        <w:rPr>
          <w:rFonts w:cstheme="minorHAnsi"/>
        </w:rPr>
      </w:pPr>
      <w:r>
        <w:t>Livros</w:t>
      </w:r>
    </w:p>
    <w:p w:rsidR="00A20B49" w:rsidRDefault="00A20B49" w:rsidP="00A20B49">
      <w:pPr>
        <w:pStyle w:val="01TITULO4"/>
      </w:pPr>
      <w:r>
        <w:t xml:space="preserve">Números 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  <w:szCs w:val="21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:rsidR="00A20B49" w:rsidRPr="006A0B18" w:rsidRDefault="00A20B49" w:rsidP="00A20B49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i w:val="0"/>
          <w:szCs w:val="21"/>
          <w:lang w:val="en-US"/>
        </w:rPr>
        <w:t xml:space="preserve">, </w:t>
      </w:r>
      <w:proofErr w:type="spellStart"/>
      <w:r w:rsidRPr="006733E1">
        <w:rPr>
          <w:rStyle w:val="Textoitlico"/>
          <w:i w:val="0"/>
          <w:szCs w:val="21"/>
          <w:lang w:val="en-US"/>
        </w:rPr>
        <w:t>Analúcia</w:t>
      </w:r>
      <w:proofErr w:type="spellEnd"/>
      <w:r w:rsidRPr="006733E1">
        <w:rPr>
          <w:rStyle w:val="Textoitlico"/>
          <w:i w:val="0"/>
          <w:szCs w:val="21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i w:val="0"/>
          <w:szCs w:val="21"/>
          <w:lang w:val="en-US"/>
        </w:rPr>
        <w:t xml:space="preserve">. </w:t>
      </w:r>
      <w:r w:rsidRPr="00456482">
        <w:rPr>
          <w:rStyle w:val="Textoitlico"/>
          <w:szCs w:val="21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  <w:szCs w:val="21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  <w:szCs w:val="21"/>
        </w:rPr>
        <w:t>Perspectivas em Aritmética e Álgebra para o século XXI</w:t>
      </w:r>
      <w:r>
        <w:rPr>
          <w:rStyle w:val="Textoitlico"/>
          <w:i w:val="0"/>
          <w:szCs w:val="21"/>
        </w:rPr>
        <w:t xml:space="preserve">. </w:t>
      </w:r>
      <w:r w:rsidRPr="006A0B18">
        <w:t>Campinas: Papirus, 1997.</w:t>
      </w:r>
    </w:p>
    <w:p w:rsidR="00A20B49" w:rsidRDefault="00A20B49" w:rsidP="00A20B49">
      <w:pPr>
        <w:pStyle w:val="01TITULO4"/>
      </w:pPr>
      <w:r>
        <w:t>Álgebra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DINIZ, Maria </w:t>
      </w:r>
      <w:proofErr w:type="spellStart"/>
      <w:r>
        <w:rPr>
          <w:rStyle w:val="Textoitlico"/>
          <w:i w:val="0"/>
        </w:rPr>
        <w:t>Ignes</w:t>
      </w:r>
      <w:proofErr w:type="spellEnd"/>
      <w:r>
        <w:rPr>
          <w:rStyle w:val="Textoitlico"/>
          <w:i w:val="0"/>
        </w:rPr>
        <w:t xml:space="preserve">; SOUSA, Eliana </w:t>
      </w:r>
      <w:proofErr w:type="spellStart"/>
      <w:r>
        <w:rPr>
          <w:rStyle w:val="Textoitlico"/>
          <w:i w:val="0"/>
        </w:rPr>
        <w:t>Reame</w:t>
      </w:r>
      <w:proofErr w:type="spellEnd"/>
      <w:r>
        <w:rPr>
          <w:rStyle w:val="Textoitlico"/>
          <w:i w:val="0"/>
        </w:rPr>
        <w:t xml:space="preserve"> de.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87165C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87165C">
        <w:rPr>
          <w:rStyle w:val="Textoitlico"/>
          <w:i w:val="0"/>
        </w:rPr>
        <w:t xml:space="preserve">PINTO, Renata </w:t>
      </w:r>
      <w:proofErr w:type="spellStart"/>
      <w:r w:rsidRPr="0087165C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:rsidR="00A20B49" w:rsidRPr="00517A22" w:rsidRDefault="00A20B49" w:rsidP="00A20B49">
      <w:pPr>
        <w:pStyle w:val="02TEXTOPRINCIPALBULLET"/>
        <w:numPr>
          <w:ilvl w:val="0"/>
          <w:numId w:val="10"/>
        </w:numPr>
        <w:rPr>
          <w:b/>
        </w:rPr>
      </w:pPr>
      <w:r>
        <w:t>SCARLASSARI</w:t>
      </w:r>
      <w:r w:rsidRPr="0087165C">
        <w:rPr>
          <w:rStyle w:val="Textoitlico"/>
          <w:i w:val="0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:rsidR="00A20B49" w:rsidRDefault="00A20B49" w:rsidP="00A20B4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20B49" w:rsidRDefault="00A20B49" w:rsidP="00A20B49">
      <w:pPr>
        <w:pStyle w:val="01TITULO4"/>
      </w:pPr>
      <w:r>
        <w:lastRenderedPageBreak/>
        <w:t>Geometria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CAMPOS, Tânia Maria M.; CURI, </w:t>
      </w:r>
      <w:proofErr w:type="spellStart"/>
      <w:r>
        <w:rPr>
          <w:rStyle w:val="Textoitlico"/>
          <w:i w:val="0"/>
        </w:rPr>
        <w:t>Edda</w:t>
      </w:r>
      <w:proofErr w:type="spellEnd"/>
      <w:r>
        <w:rPr>
          <w:rStyle w:val="Textoitlico"/>
          <w:i w:val="0"/>
        </w:rPr>
        <w:t xml:space="preserve">; PIRES, </w:t>
      </w:r>
      <w:r>
        <w:t>Célia Maria C</w:t>
      </w:r>
      <w:r>
        <w:rPr>
          <w:rStyle w:val="Textoitlico"/>
          <w:i w:val="0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:rsidR="00A20B49" w:rsidRPr="003224AB" w:rsidRDefault="00A20B49" w:rsidP="00A20B49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:rsidR="00A20B49" w:rsidRDefault="00A20B49" w:rsidP="00A20B49">
      <w:pPr>
        <w:pStyle w:val="01TITULO4"/>
      </w:pPr>
      <w:r>
        <w:t>Probabilidade e estatística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5563C5">
        <w:rPr>
          <w:rStyle w:val="Textoitlico"/>
          <w:i w:val="0"/>
        </w:rPr>
        <w:t xml:space="preserve">CAZORLA, Irene Maurício; SANTANA, </w:t>
      </w:r>
      <w:proofErr w:type="spellStart"/>
      <w:r w:rsidRPr="005563C5">
        <w:rPr>
          <w:rStyle w:val="Textoitlico"/>
          <w:i w:val="0"/>
        </w:rPr>
        <w:t>Eurivalda</w:t>
      </w:r>
      <w:proofErr w:type="spellEnd"/>
      <w:r w:rsidRPr="005563C5">
        <w:rPr>
          <w:rStyle w:val="Textoitlico"/>
          <w:i w:val="0"/>
        </w:rPr>
        <w:t xml:space="preserve"> dos Santos.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LANNER, Anna Regina; 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  <w:i w:val="0"/>
        </w:rPr>
        <w:t xml:space="preserve"> (</w:t>
      </w:r>
      <w:proofErr w:type="spellStart"/>
      <w:r>
        <w:rPr>
          <w:rStyle w:val="Textoitlico"/>
          <w:i w:val="0"/>
        </w:rPr>
        <w:t>Orgs</w:t>
      </w:r>
      <w:proofErr w:type="spellEnd"/>
      <w:r>
        <w:rPr>
          <w:rStyle w:val="Textoitlico"/>
          <w:i w:val="0"/>
        </w:rPr>
        <w:t xml:space="preserve">).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:rsidR="00A20B49" w:rsidRDefault="00A20B49" w:rsidP="00A20B49">
      <w:pPr>
        <w:pStyle w:val="01TITULO4"/>
      </w:pPr>
      <w:r>
        <w:t>Resolução de problemas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 xml:space="preserve">DINIZ, Maria Ignez; SMOLE, Kátia </w:t>
      </w:r>
      <w:proofErr w:type="spellStart"/>
      <w:r w:rsidRPr="00BE4542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 xml:space="preserve">: habilidades básicas para </w:t>
      </w:r>
      <w:proofErr w:type="gramStart"/>
      <w:r>
        <w:t>aprender Matemática</w:t>
      </w:r>
      <w:proofErr w:type="gramEnd"/>
      <w:r>
        <w:t>. Porto Alegre: Artmed, 2001.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:rsidR="00A20B49" w:rsidRDefault="00A20B49" w:rsidP="00A20B4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20B49" w:rsidRDefault="00A20B49" w:rsidP="00A20B49">
      <w:pPr>
        <w:pStyle w:val="01TITULO4"/>
      </w:pPr>
      <w:r>
        <w:lastRenderedPageBreak/>
        <w:t>Avaliação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 xml:space="preserve">OLINTO, Neuza </w:t>
      </w:r>
      <w:proofErr w:type="spellStart"/>
      <w:r w:rsidRPr="009C17F9">
        <w:rPr>
          <w:rStyle w:val="Textoitlico"/>
          <w:i w:val="0"/>
        </w:rPr>
        <w:t>Bertoni</w:t>
      </w:r>
      <w:proofErr w:type="spellEnd"/>
      <w:r w:rsidRPr="009C17F9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:rsidR="00A20B49" w:rsidRDefault="00A20B49" w:rsidP="00A20B49">
      <w:pPr>
        <w:pStyle w:val="01TITULO4"/>
      </w:pPr>
      <w:r>
        <w:t>Educação Matemática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BA0E9D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:rsidR="00A20B49" w:rsidRPr="003224AB" w:rsidRDefault="00A20B49" w:rsidP="00A20B49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D</w:t>
      </w:r>
      <w:r>
        <w:rPr>
          <w:rStyle w:val="Textoitlico"/>
          <w:i w:val="0"/>
        </w:rPr>
        <w:t>’A</w:t>
      </w:r>
      <w:r w:rsidRPr="00BA0E9D">
        <w:rPr>
          <w:rStyle w:val="Textoitlico"/>
          <w:i w:val="0"/>
        </w:rPr>
        <w:t>MORE, B</w:t>
      </w:r>
      <w:r>
        <w:rPr>
          <w:rStyle w:val="Textoitlico"/>
          <w:i w:val="0"/>
        </w:rPr>
        <w:t>runo</w:t>
      </w:r>
      <w:r w:rsidRPr="00BA0E9D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LOPES, Celi Aparecida </w:t>
      </w:r>
      <w:proofErr w:type="spellStart"/>
      <w:r>
        <w:rPr>
          <w:rStyle w:val="Textoitlico"/>
          <w:i w:val="0"/>
        </w:rPr>
        <w:t>Espasandin</w:t>
      </w:r>
      <w:proofErr w:type="spellEnd"/>
      <w:r>
        <w:rPr>
          <w:rStyle w:val="Textoitlico"/>
          <w:i w:val="0"/>
        </w:rPr>
        <w:t xml:space="preserve">; NACARATO, Adair Mendes.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 xml:space="preserve">Para </w:t>
      </w:r>
      <w:proofErr w:type="gramStart"/>
      <w:r w:rsidRPr="007B1FB1">
        <w:rPr>
          <w:rStyle w:val="Textoitlico"/>
        </w:rPr>
        <w:t>aprender Matemática</w:t>
      </w:r>
      <w:proofErr w:type="gramEnd"/>
      <w:r>
        <w:t>. Campinas: Autores Associados, 2006.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PAIS, Luiz Carlos. </w:t>
      </w:r>
      <w:proofErr w:type="gramStart"/>
      <w:r w:rsidRPr="00D8166D">
        <w:rPr>
          <w:rStyle w:val="Textoitlico"/>
        </w:rPr>
        <w:t>Ensinar e aprender Matemática</w:t>
      </w:r>
      <w:proofErr w:type="gramEnd"/>
      <w:r>
        <w:t>. Belo Horizonte: Autêntica, 2006.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PARRA, Cecília; SAIZ, Irma (</w:t>
      </w:r>
      <w:proofErr w:type="spellStart"/>
      <w:r w:rsidRPr="00BA0E9D">
        <w:rPr>
          <w:rStyle w:val="Textoitlico"/>
          <w:i w:val="0"/>
        </w:rPr>
        <w:t>Orgs</w:t>
      </w:r>
      <w:proofErr w:type="spellEnd"/>
      <w:r w:rsidRPr="00BA0E9D">
        <w:rPr>
          <w:rStyle w:val="Textoitlico"/>
          <w:i w:val="0"/>
        </w:rPr>
        <w:t xml:space="preserve">.).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:rsidR="00A20B49" w:rsidRDefault="00A20B49" w:rsidP="00A20B4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20B49" w:rsidRDefault="00A20B49" w:rsidP="00A20B49">
      <w:pPr>
        <w:pStyle w:val="01TITULO4"/>
      </w:pPr>
      <w:r>
        <w:lastRenderedPageBreak/>
        <w:t>História da Matemática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 xml:space="preserve">BAUMGART, John K.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 xml:space="preserve">IFRAH, Georges.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:rsidR="00A20B49" w:rsidRDefault="00A20B49" w:rsidP="00A20B49">
      <w:pPr>
        <w:pStyle w:val="01TITULO4"/>
      </w:pPr>
      <w:r>
        <w:t>Jogos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:rsidR="00A20B49" w:rsidRPr="00B9086F" w:rsidRDefault="00A20B49" w:rsidP="00A20B49">
      <w:pPr>
        <w:pStyle w:val="02TEXTOPRINCIPALBULLET"/>
        <w:numPr>
          <w:ilvl w:val="0"/>
          <w:numId w:val="10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:rsidR="00A20B49" w:rsidRDefault="00A20B49" w:rsidP="00A20B49">
      <w:pPr>
        <w:pStyle w:val="01TITULO4"/>
      </w:pPr>
      <w:r>
        <w:t>Matemática e temas transversais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:rsidR="00A20B49" w:rsidRPr="003224AB" w:rsidRDefault="00A20B49" w:rsidP="00A20B49">
      <w:pPr>
        <w:pStyle w:val="02TEXTOPRINCIPALBULLET"/>
        <w:numPr>
          <w:ilvl w:val="0"/>
          <w:numId w:val="10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:rsidR="00A20B49" w:rsidRDefault="00A20B49" w:rsidP="00A20B4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A20B49" w:rsidRDefault="00A20B49" w:rsidP="00A20B49">
      <w:pPr>
        <w:pStyle w:val="01TITULO4"/>
      </w:pPr>
      <w:r>
        <w:lastRenderedPageBreak/>
        <w:t>Tecnologia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:rsidR="00A20B49" w:rsidRPr="006A0B18" w:rsidRDefault="00A20B49" w:rsidP="00A20B49">
      <w:pPr>
        <w:pStyle w:val="02TEXTOPRINCIPALBULLET"/>
        <w:numPr>
          <w:ilvl w:val="0"/>
          <w:numId w:val="10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:rsidR="00A20B49" w:rsidRPr="009B7568" w:rsidRDefault="00A20B49" w:rsidP="00A20B49">
      <w:pPr>
        <w:pStyle w:val="02TEXTOPRINCIPALBULLET"/>
        <w:numPr>
          <w:ilvl w:val="0"/>
          <w:numId w:val="10"/>
        </w:numPr>
        <w:rPr>
          <w:b/>
        </w:rPr>
      </w:pPr>
      <w:r>
        <w:rPr>
          <w:rStyle w:val="Textoitlico"/>
          <w:i w:val="0"/>
        </w:rPr>
        <w:t xml:space="preserve">RUBIO, Juliana de Alcântara S.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:rsidR="00A20B49" w:rsidRDefault="00A20B49" w:rsidP="00A20B49">
      <w:pPr>
        <w:pStyle w:val="02TEXTOPRINCIPALBULLET"/>
        <w:numPr>
          <w:ilvl w:val="0"/>
          <w:numId w:val="10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:rsidR="00A20B49" w:rsidRDefault="00A20B49" w:rsidP="00A20B49">
      <w:pPr>
        <w:pStyle w:val="01TITULO3"/>
      </w:pPr>
      <w:r>
        <w:t>Revistas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bookmarkStart w:id="6" w:name="_Hlk526251179"/>
      <w:r w:rsidRPr="00895F3A">
        <w:rPr>
          <w:i/>
        </w:rPr>
        <w:t>BOLEMA</w:t>
      </w:r>
      <w:r>
        <w:t xml:space="preserve"> (Boletim de Educação Matemática)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:rsidR="00024079" w:rsidRPr="00895F3A" w:rsidRDefault="00024079" w:rsidP="00024079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:rsidR="00024079" w:rsidRPr="00895F3A" w:rsidRDefault="00024079" w:rsidP="00024079">
      <w:pPr>
        <w:pStyle w:val="02TEXTOPRINCIPALBULLET"/>
        <w:numPr>
          <w:ilvl w:val="0"/>
          <w:numId w:val="10"/>
        </w:numPr>
        <w:rPr>
          <w:b/>
          <w:i/>
        </w:rPr>
      </w:pPr>
      <w:r w:rsidRPr="00895F3A">
        <w:rPr>
          <w:i/>
        </w:rPr>
        <w:t>Educação Matemática em Revista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024079" w:rsidRPr="00895F3A" w:rsidRDefault="00024079" w:rsidP="00024079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Jornal do professor de Matemática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:rsidR="00024079" w:rsidRPr="00895F3A" w:rsidRDefault="00024079" w:rsidP="00024079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Revista do professor de Matemática</w:t>
      </w:r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:rsidR="00024079" w:rsidRPr="00895F3A" w:rsidRDefault="00024079" w:rsidP="00024079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:rsidR="00024079" w:rsidRDefault="00024079" w:rsidP="00024079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6"/>
    <w:p w:rsidR="00A20B49" w:rsidRDefault="00A20B49" w:rsidP="00A20B4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A20B49" w:rsidRPr="00513C3A" w:rsidRDefault="00A20B49" w:rsidP="00A20B49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:rsidR="00024079" w:rsidRDefault="00024079" w:rsidP="00024079">
      <w:pPr>
        <w:pStyle w:val="02TEXTOPRINCIPALBULLET"/>
        <w:numPr>
          <w:ilvl w:val="0"/>
          <w:numId w:val="10"/>
        </w:numPr>
      </w:pPr>
      <w:bookmarkStart w:id="7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:rsidR="00024079" w:rsidRPr="003511C7" w:rsidRDefault="00024079" w:rsidP="00024079">
      <w:pPr>
        <w:pStyle w:val="02TEXTOPRINCIPALBULLET"/>
        <w:numPr>
          <w:ilvl w:val="0"/>
          <w:numId w:val="10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7"/>
    <w:p w:rsidR="00A20B49" w:rsidRPr="00456482" w:rsidRDefault="00A20B49" w:rsidP="00A20B49">
      <w:pPr>
        <w:pStyle w:val="02TEXTOPRINCIPALBULLET"/>
        <w:numPr>
          <w:ilvl w:val="0"/>
          <w:numId w:val="0"/>
        </w:numPr>
        <w:ind w:left="227"/>
        <w:rPr>
          <w:b/>
        </w:rPr>
      </w:pPr>
    </w:p>
    <w:bookmarkEnd w:id="2"/>
    <w:p w:rsidR="007A0CF4" w:rsidRPr="00CA72E5" w:rsidRDefault="007A0CF4" w:rsidP="00C20A55">
      <w:pPr>
        <w:pStyle w:val="01TITULO2"/>
      </w:pPr>
      <w:r w:rsidRPr="00032EBC">
        <w:t>Orientações adicionais</w:t>
      </w:r>
      <w:r w:rsidRPr="00CA72E5">
        <w:t xml:space="preserve"> </w:t>
      </w:r>
    </w:p>
    <w:p w:rsidR="00105AB5" w:rsidRPr="00D0709F" w:rsidRDefault="00105AB5" w:rsidP="00BE2197">
      <w:pPr>
        <w:pStyle w:val="02TEXTOPRINCIPAL"/>
        <w:ind w:firstLine="708"/>
      </w:pPr>
      <w:r>
        <w:t>Convém ampliar</w:t>
      </w:r>
      <w:r w:rsidRPr="00D0709F">
        <w:t xml:space="preserve"> a construção de montagem de modelos de figuras </w:t>
      </w:r>
      <w:r w:rsidRPr="00BE2197">
        <w:t>geométricas</w:t>
      </w:r>
      <w:r w:rsidR="00ED20E1">
        <w:t xml:space="preserve"> a partir de planificações. Essa é</w:t>
      </w:r>
      <w:r w:rsidRPr="00D0709F">
        <w:t xml:space="preserve"> uma excelente estratégia para a observação das características de figuras tridimensionais e bidimensionais</w:t>
      </w:r>
      <w:r w:rsidR="00BE2197">
        <w:t>,</w:t>
      </w:r>
      <w:r w:rsidRPr="00D0709F">
        <w:t xml:space="preserve"> especialmente para os alunos c</w:t>
      </w:r>
      <w:r w:rsidR="00BE2197">
        <w:t>om dificuldades de aprendizagem</w:t>
      </w:r>
      <w:r w:rsidRPr="00D0709F">
        <w:t>.</w:t>
      </w:r>
    </w:p>
    <w:p w:rsidR="00C20A55" w:rsidRDefault="00C20A55" w:rsidP="00506EBE">
      <w:pPr>
        <w:pStyle w:val="00TtuloPeso1"/>
      </w:pPr>
    </w:p>
    <w:p w:rsidR="00AF59F8" w:rsidRDefault="00AF59F8" w:rsidP="00AF59F8">
      <w:pPr>
        <w:pStyle w:val="01TITULO2"/>
      </w:pPr>
      <w:r>
        <w:t>Gestão da sala de aula</w:t>
      </w:r>
    </w:p>
    <w:p w:rsidR="00AF59F8" w:rsidRDefault="00AF59F8" w:rsidP="00AF59F8">
      <w:pPr>
        <w:pStyle w:val="02TEXTOPRINCIPAL"/>
        <w:ind w:firstLine="708"/>
      </w:pPr>
      <w:r>
        <w:t xml:space="preserve">Além de orientações em relação à forma de apresentação e disposição do ambiente e dos estudantes, passando pela 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:rsidR="00AF59F8" w:rsidRDefault="00AF59F8" w:rsidP="00AF59F8">
      <w:pPr>
        <w:pStyle w:val="02TEXTOPRINCIPAL"/>
        <w:ind w:firstLine="708"/>
      </w:pPr>
      <w:r>
        <w:t xml:space="preserve">O planejamento do </w:t>
      </w:r>
      <w:r>
        <w:rPr>
          <w:b/>
        </w:rPr>
        <w:t xml:space="preserve">tempo </w:t>
      </w:r>
      <w:r>
        <w:t xml:space="preserve">das atividades, da </w:t>
      </w:r>
      <w:r>
        <w:rPr>
          <w:b/>
        </w:rPr>
        <w:t>ocupação do espaço</w:t>
      </w:r>
      <w:r>
        <w:t xml:space="preserve">, dos </w:t>
      </w:r>
      <w:r>
        <w:rPr>
          <w:b/>
        </w:rPr>
        <w:t>recursos didáticos</w:t>
      </w:r>
      <w:r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:rsidR="00AF59F8" w:rsidRDefault="00AF59F8" w:rsidP="00AF59F8">
      <w:pPr>
        <w:pStyle w:val="02TEXTOPRINCIPAL"/>
        <w:ind w:firstLine="708"/>
      </w:pPr>
      <w:r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:rsidR="00AF59F8" w:rsidRDefault="00AF59F8" w:rsidP="00AF59F8">
      <w:pPr>
        <w:pStyle w:val="02TEXTOPRINCIPAL"/>
        <w:ind w:firstLine="708"/>
      </w:pPr>
      <w:r>
        <w:t xml:space="preserve">É preciso considerar, também, a possibilidade de </w:t>
      </w:r>
      <w:r>
        <w:rPr>
          <w:b/>
        </w:rPr>
        <w:t>os</w:t>
      </w:r>
      <w:r>
        <w:t xml:space="preserve"> </w:t>
      </w:r>
      <w:r>
        <w:rPr>
          <w:b/>
        </w:rPr>
        <w:t>alunos assumirem a responsabilidade</w:t>
      </w:r>
      <w:r>
        <w:t xml:space="preserve"> pela disposição, ordem e limpeza da sala, bem como pela organização de murais para exposição de trabalhos, jornais, programação cultural. </w:t>
      </w:r>
    </w:p>
    <w:p w:rsidR="00105AB5" w:rsidRDefault="00EB5AA4" w:rsidP="00EB5AA4">
      <w:pPr>
        <w:pStyle w:val="02TEXTOPRINCIPAL"/>
        <w:ind w:firstLine="708"/>
      </w:pPr>
      <w:r>
        <w:t>Em particular</w:t>
      </w:r>
      <w:r w:rsidR="00105AB5">
        <w:t xml:space="preserve"> neste bimestre</w:t>
      </w:r>
      <w:r>
        <w:t>,</w:t>
      </w:r>
      <w:r w:rsidR="00105AB5">
        <w:t xml:space="preserve"> convém o preparo antecipado de moldes geométricos de poliedros feitos com massa, pal</w:t>
      </w:r>
      <w:r>
        <w:t>itos ou planificações. Solicite</w:t>
      </w:r>
      <w:r w:rsidR="00105AB5">
        <w:t xml:space="preserve"> aos alunos que providenciem o material nece</w:t>
      </w:r>
      <w:r>
        <w:t>ssário para a atividade e proponha</w:t>
      </w:r>
      <w:r w:rsidR="00105AB5">
        <w:t xml:space="preserve"> um momento determinado para </w:t>
      </w:r>
      <w:r>
        <w:t>a construção d</w:t>
      </w:r>
      <w:r w:rsidR="00105AB5">
        <w:t>os moldes.</w:t>
      </w:r>
    </w:p>
    <w:p w:rsidR="006E3900" w:rsidRPr="00D0709F" w:rsidRDefault="006E3900" w:rsidP="006E3900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:rsidR="00AF59F8" w:rsidRDefault="00AF59F8" w:rsidP="00AF59F8">
      <w:pPr>
        <w:pStyle w:val="02TEXTOPRINCIPAL"/>
        <w:ind w:firstLine="708"/>
      </w:pPr>
      <w:r>
        <w:t>Cuide da relação com familiares, informando e envolvendo os pais e responsáveis nas questões educacionais, considerando suas expectativas, pontos de vista e disponibilidade para o diálogo. Levante as prioridades do período para propor reuniões, debates, entrevistas, estando sempre atento e aberto para as necessidades e questões que emergirem.</w:t>
      </w:r>
    </w:p>
    <w:p w:rsidR="00AF59F8" w:rsidRDefault="00AF59F8" w:rsidP="00AF59F8">
      <w:pPr>
        <w:pStyle w:val="02TEXTOPRINCIPAL"/>
      </w:pPr>
      <w:r>
        <w:br w:type="page"/>
      </w:r>
    </w:p>
    <w:p w:rsidR="00DF4660" w:rsidRPr="00506EBE" w:rsidRDefault="007A0CF4" w:rsidP="00C20A55">
      <w:pPr>
        <w:pStyle w:val="01TITULO2"/>
      </w:pPr>
      <w:r w:rsidRPr="00506EBE">
        <w:lastRenderedPageBreak/>
        <w:t>Acompanhamento dos alunos</w:t>
      </w:r>
    </w:p>
    <w:p w:rsidR="00AF59F8" w:rsidRDefault="00AF59F8" w:rsidP="00AF59F8">
      <w:pPr>
        <w:pStyle w:val="02TEXTOPRINCIPAL"/>
        <w:ind w:firstLine="708"/>
        <w:rPr>
          <w:shd w:val="clear" w:color="auto" w:fill="FFFFFF"/>
        </w:rPr>
      </w:pPr>
      <w:r>
        <w:t>Visando ao acompanhamento constante do desempenho dos alunos,</w:t>
      </w:r>
      <w:r>
        <w:rPr>
          <w:shd w:val="clear" w:color="auto" w:fill="FFFFFF"/>
        </w:rPr>
        <w:t xml:space="preserve"> é indispensável a observação contínua do próprio processo de trabalho no dia a dia da sala de aula, nas discussões coletivas, na realização de atividades em grupo ou individuais.</w:t>
      </w:r>
    </w:p>
    <w:p w:rsidR="00AF59F8" w:rsidRDefault="00AF59F8" w:rsidP="00AF59F8">
      <w:pPr>
        <w:pStyle w:val="02TEXTOPRINCIPAL"/>
        <w:ind w:firstLine="708"/>
      </w:pPr>
      <w:r>
        <w:t xml:space="preserve">Percebidas as dificuldades dos alunos e suas causas e tendo em vista os objetivos e conteúdos planejados para o bimestre, </w:t>
      </w:r>
      <w:r>
        <w:rPr>
          <w:b/>
        </w:rPr>
        <w:t>poderão ser propostas atividades extras e diversificadas</w:t>
      </w:r>
      <w:r>
        <w:t xml:space="preserve"> que contribuam com as aprendizagens. </w:t>
      </w:r>
    </w:p>
    <w:p w:rsidR="00105AB5" w:rsidRPr="0036292C" w:rsidRDefault="00105AB5" w:rsidP="0099030F">
      <w:pPr>
        <w:pStyle w:val="02TEXTOPRINCIPAL"/>
        <w:ind w:firstLine="708"/>
      </w:pPr>
      <w:r w:rsidRPr="0036292C">
        <w:t xml:space="preserve">Neste bimestre, podem ser propostas atividades como as encontradas no livro </w:t>
      </w:r>
      <w:r w:rsidR="006E3900" w:rsidRPr="006E3900">
        <w:t>do estudante</w:t>
      </w:r>
      <w:r w:rsidRPr="006E3900">
        <w:t>:</w:t>
      </w:r>
      <w:r w:rsidRPr="0036292C">
        <w:t xml:space="preserve"> confecção de polígonos (página</w:t>
      </w:r>
      <w:r w:rsidR="006E3900">
        <w:t>s</w:t>
      </w:r>
      <w:r w:rsidRPr="0036292C">
        <w:t xml:space="preserve"> </w:t>
      </w:r>
      <w:r w:rsidR="00A166EF" w:rsidRPr="0036292C">
        <w:t>254</w:t>
      </w:r>
      <w:r w:rsidR="00A166EF">
        <w:t xml:space="preserve"> e </w:t>
      </w:r>
      <w:r w:rsidRPr="0036292C">
        <w:t>260); fichas de palavras cruzadas para reforço do conceito de par ordenado (página 265</w:t>
      </w:r>
      <w:r w:rsidR="006E3900">
        <w:t>);</w:t>
      </w:r>
      <w:r w:rsidRPr="0036292C">
        <w:t xml:space="preserve"> </w:t>
      </w:r>
      <w:r w:rsidR="006E3900">
        <w:t>apresentação de</w:t>
      </w:r>
      <w:r w:rsidRPr="0036292C">
        <w:t xml:space="preserve"> planificações de prismas e de pirâmides com erro para o</w:t>
      </w:r>
      <w:r w:rsidR="006E3900">
        <w:t>s</w:t>
      </w:r>
      <w:r w:rsidRPr="0036292C">
        <w:t xml:space="preserve"> aluno</w:t>
      </w:r>
      <w:r w:rsidR="006E3900">
        <w:t>s</w:t>
      </w:r>
      <w:r w:rsidRPr="0036292C">
        <w:t xml:space="preserve"> (página 269); </w:t>
      </w:r>
      <w:proofErr w:type="spellStart"/>
      <w:r w:rsidRPr="0036292C">
        <w:t>geoplano</w:t>
      </w:r>
      <w:proofErr w:type="spellEnd"/>
      <w:r w:rsidRPr="0036292C">
        <w:t xml:space="preserve"> e </w:t>
      </w:r>
      <w:proofErr w:type="spellStart"/>
      <w:r w:rsidRPr="0036292C">
        <w:t>tangram</w:t>
      </w:r>
      <w:proofErr w:type="spellEnd"/>
      <w:r w:rsidRPr="0036292C">
        <w:t xml:space="preserve"> para o</w:t>
      </w:r>
      <w:r w:rsidR="006E3900">
        <w:t>s</w:t>
      </w:r>
      <w:r w:rsidRPr="0036292C">
        <w:t xml:space="preserve"> aluno</w:t>
      </w:r>
      <w:r w:rsidR="006E3900">
        <w:t>s</w:t>
      </w:r>
      <w:r w:rsidRPr="0036292C">
        <w:t xml:space="preserve"> representar</w:t>
      </w:r>
      <w:r w:rsidR="006E3900">
        <w:t>em</w:t>
      </w:r>
      <w:r w:rsidRPr="0036292C">
        <w:t xml:space="preserve"> e estudar</w:t>
      </w:r>
      <w:r w:rsidR="006E3900">
        <w:t>em</w:t>
      </w:r>
      <w:r w:rsidRPr="0036292C">
        <w:t xml:space="preserve"> polígonos (páginas 305 e 308); construção de caixa cúbica com arestas medindo 1 dm para ser usad</w:t>
      </w:r>
      <w:r w:rsidR="006E3900">
        <w:t>o</w:t>
      </w:r>
      <w:r w:rsidRPr="0036292C">
        <w:t xml:space="preserve"> como unidad</w:t>
      </w:r>
      <w:r w:rsidR="0036292C">
        <w:t>e de capacidade (página 319)</w:t>
      </w:r>
      <w:r w:rsidRPr="0036292C">
        <w:t>.</w:t>
      </w:r>
      <w:r w:rsidR="006E3900">
        <w:t xml:space="preserve"> Apresente</w:t>
      </w:r>
      <w:r w:rsidRPr="0036292C">
        <w:t xml:space="preserve"> </w:t>
      </w:r>
      <w:r w:rsidR="006E3900">
        <w:t xml:space="preserve">também </w:t>
      </w:r>
      <w:r w:rsidRPr="0036292C">
        <w:t>modelo</w:t>
      </w:r>
      <w:r w:rsidR="006E3900">
        <w:t>s</w:t>
      </w:r>
      <w:r w:rsidRPr="0036292C">
        <w:t xml:space="preserve"> de relógio analógico e situações</w:t>
      </w:r>
      <w:r w:rsidR="006E3900">
        <w:t xml:space="preserve"> problema</w:t>
      </w:r>
      <w:r w:rsidRPr="0036292C">
        <w:t xml:space="preserve"> </w:t>
      </w:r>
      <w:r w:rsidR="006E3900">
        <w:t>que envolvam</w:t>
      </w:r>
      <w:r w:rsidRPr="0036292C">
        <w:t xml:space="preserve"> intervalos de tempo para o</w:t>
      </w:r>
      <w:r w:rsidR="0099030F">
        <w:t>s</w:t>
      </w:r>
      <w:r w:rsidRPr="0036292C">
        <w:t xml:space="preserve"> aluno</w:t>
      </w:r>
      <w:r w:rsidR="00A166EF">
        <w:t>s</w:t>
      </w:r>
      <w:r w:rsidRPr="0036292C">
        <w:t xml:space="preserve"> resolver</w:t>
      </w:r>
      <w:r w:rsidR="0099030F">
        <w:t>em</w:t>
      </w:r>
      <w:r w:rsidRPr="0036292C">
        <w:t xml:space="preserve">. </w:t>
      </w:r>
      <w:r w:rsidR="0099030F">
        <w:t>Uma</w:t>
      </w:r>
      <w:r w:rsidRPr="0036292C">
        <w:t xml:space="preserve"> balança digital ou de dois pratos </w:t>
      </w:r>
      <w:r w:rsidR="0099030F">
        <w:t xml:space="preserve">pode ser usada para </w:t>
      </w:r>
      <w:r w:rsidRPr="0036292C">
        <w:t xml:space="preserve">propor medições da massa de vários objetos. </w:t>
      </w:r>
    </w:p>
    <w:p w:rsidR="00ED5057" w:rsidRDefault="00ED5057" w:rsidP="00C20A55">
      <w:pPr>
        <w:pStyle w:val="02TEXTOPRINCIPAL"/>
      </w:pPr>
    </w:p>
    <w:p w:rsidR="00B84A83" w:rsidRPr="00506EBE" w:rsidRDefault="00B84A83" w:rsidP="00B84A83">
      <w:pPr>
        <w:pStyle w:val="01TITULO2"/>
      </w:pPr>
      <w:r>
        <w:t>Habilidades essenciais para a continuidade dos estudos</w:t>
      </w:r>
    </w:p>
    <w:bookmarkEnd w:id="0"/>
    <w:p w:rsidR="005C6EF8" w:rsidRPr="005C6EF8" w:rsidRDefault="005C6EF8" w:rsidP="005C6EF8">
      <w:pPr>
        <w:pStyle w:val="02TEXTOPRINCIPAL"/>
        <w:ind w:firstLine="708"/>
      </w:pPr>
      <w:r w:rsidRPr="005C6EF8">
        <w:t xml:space="preserve">Para avançar na aprendizagem e aprimorar os conhecimentos no próximo </w:t>
      </w:r>
      <w:r w:rsidR="00AF59F8">
        <w:t>ano</w:t>
      </w:r>
      <w:r w:rsidRPr="005C6EF8">
        <w:t>, é essencial que os alunos tenham desenvolvido as habilidades descritas a seguir.</w:t>
      </w:r>
    </w:p>
    <w:p w:rsidR="005C6EF8" w:rsidRPr="0031262E" w:rsidRDefault="005C6EF8" w:rsidP="005C6EF8">
      <w:pPr>
        <w:pStyle w:val="02TEXTOPRINCIPALBULLET"/>
      </w:pPr>
      <w:r w:rsidRPr="0031262E">
        <w:t>Reconhecer, nomear e comparar polígonos, considerando lados, vértices e ângulos, e classificá-los em regulares e não regulares, tanto em suas representações no plano como em faces de poliedros.</w:t>
      </w:r>
    </w:p>
    <w:p w:rsidR="005C6EF8" w:rsidRPr="0031262E" w:rsidRDefault="005C6EF8" w:rsidP="005C6EF8">
      <w:pPr>
        <w:pStyle w:val="02TEXTOPRINCIPALBULLET"/>
      </w:pPr>
      <w:r>
        <w:t>Usando régua e compasso, construir triângulos quando são dadas as medidas de seus lados e classificá-los quanto aos lados e ângulos.</w:t>
      </w:r>
    </w:p>
    <w:p w:rsidR="005C6EF8" w:rsidRPr="0031262E" w:rsidRDefault="005C6EF8" w:rsidP="005C6EF8">
      <w:pPr>
        <w:pStyle w:val="02TEXTOPRINCIPALBULLET"/>
      </w:pPr>
      <w:r>
        <w:t>Reconhecer e verificar, de maneira empírica, que a soma das medidas dos ângulos internos de um triângulo vale 180°.</w:t>
      </w:r>
    </w:p>
    <w:p w:rsidR="005C6EF8" w:rsidRPr="0031262E" w:rsidRDefault="005C6EF8" w:rsidP="005C6EF8">
      <w:pPr>
        <w:pStyle w:val="02TEXTOPRINCIPALBULLET"/>
      </w:pPr>
      <w:r>
        <w:t>Classificar quadriláteros, reconhecendo as características dos paralelogramos, dos retângulos, dos losangos, dos quadrados e dos trapézios.</w:t>
      </w:r>
    </w:p>
    <w:p w:rsidR="005C6EF8" w:rsidRDefault="005C6EF8" w:rsidP="005C6EF8">
      <w:pPr>
        <w:pStyle w:val="02TEXTOPRINCIPALBULLET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L</w:t>
      </w:r>
      <w:r w:rsidRPr="00EC2A8B">
        <w:rPr>
          <w:rFonts w:eastAsiaTheme="minorHAnsi"/>
          <w:kern w:val="0"/>
          <w:lang w:eastAsia="en-US" w:bidi="ar-SA"/>
        </w:rPr>
        <w:t>ocaliza</w:t>
      </w:r>
      <w:r>
        <w:rPr>
          <w:rFonts w:eastAsiaTheme="minorHAnsi"/>
          <w:kern w:val="0"/>
          <w:lang w:eastAsia="en-US" w:bidi="ar-SA"/>
        </w:rPr>
        <w:t>r</w:t>
      </w:r>
      <w:r w:rsidRPr="00EC2A8B">
        <w:rPr>
          <w:rFonts w:eastAsiaTheme="minorHAnsi"/>
          <w:kern w:val="0"/>
          <w:lang w:eastAsia="en-US" w:bidi="ar-SA"/>
        </w:rPr>
        <w:t xml:space="preserve"> os vértices de um polígono </w:t>
      </w:r>
      <w:r>
        <w:rPr>
          <w:rFonts w:eastAsiaTheme="minorHAnsi"/>
          <w:kern w:val="0"/>
          <w:lang w:eastAsia="en-US" w:bidi="ar-SA"/>
        </w:rPr>
        <w:t xml:space="preserve">no </w:t>
      </w:r>
      <w:r w:rsidRPr="00EC2A8B">
        <w:rPr>
          <w:rFonts w:eastAsiaTheme="minorHAnsi"/>
          <w:kern w:val="0"/>
          <w:lang w:eastAsia="en-US" w:bidi="ar-SA"/>
        </w:rPr>
        <w:t>1º</w:t>
      </w:r>
      <w:r>
        <w:rPr>
          <w:rFonts w:eastAsiaTheme="minorHAnsi"/>
          <w:kern w:val="0"/>
          <w:lang w:eastAsia="en-US" w:bidi="ar-SA"/>
        </w:rPr>
        <w:t xml:space="preserve"> </w:t>
      </w:r>
      <w:r w:rsidRPr="00EC2A8B">
        <w:rPr>
          <w:rFonts w:eastAsiaTheme="minorHAnsi"/>
          <w:kern w:val="0"/>
          <w:lang w:eastAsia="en-US" w:bidi="ar-SA"/>
        </w:rPr>
        <w:t>quadrante do plano cartesiano</w:t>
      </w:r>
      <w:r w:rsidR="004A02CD">
        <w:rPr>
          <w:rFonts w:eastAsiaTheme="minorHAnsi"/>
          <w:kern w:val="0"/>
          <w:lang w:eastAsia="en-US" w:bidi="ar-SA"/>
        </w:rPr>
        <w:t>,</w:t>
      </w:r>
      <w:r w:rsidRPr="00EC2A8B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a</w:t>
      </w:r>
      <w:r w:rsidRPr="00EC2A8B">
        <w:rPr>
          <w:rFonts w:eastAsiaTheme="minorHAnsi"/>
          <w:kern w:val="0"/>
          <w:lang w:eastAsia="en-US" w:bidi="ar-SA"/>
        </w:rPr>
        <w:t>ssocia</w:t>
      </w:r>
      <w:r>
        <w:rPr>
          <w:rFonts w:eastAsiaTheme="minorHAnsi"/>
          <w:kern w:val="0"/>
          <w:lang w:eastAsia="en-US" w:bidi="ar-SA"/>
        </w:rPr>
        <w:t>ndo-os a</w:t>
      </w:r>
      <w:r w:rsidRPr="00EC2A8B">
        <w:rPr>
          <w:rFonts w:eastAsiaTheme="minorHAnsi"/>
          <w:kern w:val="0"/>
          <w:lang w:eastAsia="en-US" w:bidi="ar-SA"/>
        </w:rPr>
        <w:t xml:space="preserve"> pares ordenados de números </w:t>
      </w:r>
      <w:r>
        <w:rPr>
          <w:rFonts w:eastAsiaTheme="minorHAnsi"/>
          <w:kern w:val="0"/>
          <w:lang w:eastAsia="en-US" w:bidi="ar-SA"/>
        </w:rPr>
        <w:t>racionais positivos.</w:t>
      </w:r>
    </w:p>
    <w:p w:rsidR="005C6EF8" w:rsidRDefault="005C6EF8" w:rsidP="005C6EF8">
      <w:pPr>
        <w:pStyle w:val="02TEXTOPRINCIPALBULLET"/>
      </w:pPr>
      <w:r>
        <w:t xml:space="preserve">Dado um poliedro, obter a planificação </w:t>
      </w:r>
      <w:r w:rsidR="004A02CD">
        <w:t>da sua superfície e vice-versa.</w:t>
      </w:r>
    </w:p>
    <w:p w:rsidR="005C6EF8" w:rsidRPr="00EC2A8B" w:rsidRDefault="005C6EF8" w:rsidP="005C6EF8">
      <w:pPr>
        <w:pStyle w:val="02TEXTOPRINCIPALBULLET"/>
      </w:pPr>
      <w:r>
        <w:t>Resolver e elaborar problemas calculando probabilidades.</w:t>
      </w:r>
    </w:p>
    <w:p w:rsidR="005C6EF8" w:rsidRDefault="005C6EF8" w:rsidP="005C6EF8">
      <w:pPr>
        <w:pStyle w:val="02TEXTOPRINCIPALBULLET"/>
      </w:pPr>
      <w:r>
        <w:t>Identificar, reconhecer elementos, representar e classificar prisma</w:t>
      </w:r>
      <w:r w:rsidR="00B676C6">
        <w:t>s</w:t>
      </w:r>
      <w:r>
        <w:t xml:space="preserve"> e pirâmides.</w:t>
      </w:r>
    </w:p>
    <w:p w:rsidR="005C6EF8" w:rsidRDefault="005C6EF8" w:rsidP="005C6EF8">
      <w:pPr>
        <w:pStyle w:val="02TEXTOPRINCIPALBULLET"/>
      </w:pPr>
      <w:r>
        <w:t>Reconhecer e aplicar o Sistema Internacional de Unidades (SI) como o que prevaleceu em relação aos sistemas de medidas com base no corpo humano e também em relação ao Sistema Métrico Decimal na resolução de problemas do cotidiano.</w:t>
      </w:r>
    </w:p>
    <w:p w:rsidR="005C6EF8" w:rsidRDefault="005C6EF8" w:rsidP="005C6EF8">
      <w:pPr>
        <w:pStyle w:val="02TEXTOPRINCIPALBULLET"/>
      </w:pPr>
      <w:r>
        <w:t>Calcular o perímetro de um polígono e a área de uma superfície com unidades não</w:t>
      </w:r>
      <w:r w:rsidR="004A02CD">
        <w:t xml:space="preserve"> </w:t>
      </w:r>
      <w:r>
        <w:t>padronizadas e padronizadas.</w:t>
      </w:r>
    </w:p>
    <w:p w:rsidR="005C6EF8" w:rsidRDefault="005C6EF8" w:rsidP="005C6EF8">
      <w:pPr>
        <w:pStyle w:val="02TEXTOPRINCIPALBULLET"/>
      </w:pPr>
      <w:r>
        <w:t>Reconhecer e reproduzir a planta baixa de uma casa.</w:t>
      </w:r>
    </w:p>
    <w:p w:rsidR="005C6EF8" w:rsidRDefault="005C6EF8" w:rsidP="005C6EF8">
      <w:pPr>
        <w:pStyle w:val="02TEXTOPRINCIPALBULLET"/>
      </w:pPr>
      <w:r>
        <w:t>Efetuar, quando necessário na resolução de problemas, transformações de unidades de comprimento e de área no SI e relacionar a es</w:t>
      </w:r>
      <w:r w:rsidR="004A02CD">
        <w:t>s</w:t>
      </w:r>
      <w:r>
        <w:t>e sistema as unidades de medida agrárias.</w:t>
      </w:r>
    </w:p>
    <w:p w:rsidR="005C6EF8" w:rsidRDefault="005C6EF8" w:rsidP="005C6EF8">
      <w:pPr>
        <w:pStyle w:val="02TEXTOPRINCIPALBULLET"/>
      </w:pPr>
      <w:r>
        <w:t>Calcular a área de um retângulo e de seu caso particular, o quadrado.</w:t>
      </w:r>
    </w:p>
    <w:p w:rsidR="005C6EF8" w:rsidRDefault="005C6EF8" w:rsidP="005C6EF8">
      <w:pPr>
        <w:pStyle w:val="02TEXTOPRINCIPALBULLET"/>
      </w:pPr>
      <w:r w:rsidRPr="00DB3F26">
        <w:t xml:space="preserve">Resolver e elaborar problemas que envolvam as grandezas comprimento, massa, tempo, </w:t>
      </w:r>
      <w:r>
        <w:t xml:space="preserve">superfície de retângulo, </w:t>
      </w:r>
      <w:r w:rsidRPr="00DB3F26">
        <w:t>capacidade e volume (sólidos formados por blocos retangulares), em situações reais e/ou relacionadas às outras áreas do conhecimento.</w:t>
      </w:r>
    </w:p>
    <w:sectPr w:rsidR="005C6EF8" w:rsidSect="00BF0E56">
      <w:headerReference w:type="default" r:id="rId37"/>
      <w:footerReference w:type="default" r:id="rId3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F0" w:rsidRDefault="002E78F0" w:rsidP="00093C12">
      <w:r>
        <w:separator/>
      </w:r>
    </w:p>
  </w:endnote>
  <w:endnote w:type="continuationSeparator" w:id="0">
    <w:p w:rsidR="002E78F0" w:rsidRDefault="002E78F0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97810" w:rsidRPr="005A1C11" w:rsidTr="00497810">
      <w:tc>
        <w:tcPr>
          <w:tcW w:w="9606" w:type="dxa"/>
        </w:tcPr>
        <w:p w:rsidR="00EC7E52" w:rsidRDefault="00EC7E52" w:rsidP="00EC7E52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B676C6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497810" w:rsidRPr="00754EF1" w:rsidRDefault="00497810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497810" w:rsidRPr="005A1C11" w:rsidRDefault="00660C93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497810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A717A">
            <w:rPr>
              <w:rStyle w:val="RodapChar"/>
              <w:noProof/>
            </w:rPr>
            <w:t>11</w:t>
          </w:r>
          <w:r w:rsidRPr="005A1C11">
            <w:rPr>
              <w:rStyle w:val="RodapChar"/>
            </w:rPr>
            <w:fldChar w:fldCharType="end"/>
          </w:r>
        </w:p>
      </w:tc>
    </w:tr>
    <w:tr w:rsidR="00754EF1" w:rsidRPr="005A1C11" w:rsidTr="00497810">
      <w:tc>
        <w:tcPr>
          <w:tcW w:w="9606" w:type="dxa"/>
        </w:tcPr>
        <w:p w:rsidR="00754EF1" w:rsidRPr="00754EF1" w:rsidRDefault="00754EF1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754EF1" w:rsidRPr="005A1C11" w:rsidRDefault="00754EF1" w:rsidP="003127EB">
          <w:pPr>
            <w:pStyle w:val="Rodap"/>
            <w:rPr>
              <w:rStyle w:val="RodapChar"/>
            </w:rPr>
          </w:pPr>
        </w:p>
      </w:tc>
    </w:tr>
  </w:tbl>
  <w:p w:rsidR="00497810" w:rsidRPr="003127EB" w:rsidRDefault="00497810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F0" w:rsidRDefault="002E78F0" w:rsidP="00093C12">
      <w:r>
        <w:separator/>
      </w:r>
    </w:p>
  </w:footnote>
  <w:footnote w:type="continuationSeparator" w:id="0">
    <w:p w:rsidR="002E78F0" w:rsidRDefault="002E78F0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10" w:rsidRDefault="00497810">
    <w:pPr>
      <w:pStyle w:val="Cabealho"/>
    </w:pPr>
    <w:r>
      <w:rPr>
        <w:noProof/>
        <w:lang w:eastAsia="pt-BR" w:bidi="ar-SA"/>
      </w:rPr>
      <w:drawing>
        <wp:inline distT="0" distB="0" distL="0" distR="0">
          <wp:extent cx="6457950" cy="4057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300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E0B2C7DA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6937"/>
    <w:rsid w:val="00017376"/>
    <w:rsid w:val="000205CD"/>
    <w:rsid w:val="00024079"/>
    <w:rsid w:val="00024CC4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679EC"/>
    <w:rsid w:val="00070435"/>
    <w:rsid w:val="00071EBB"/>
    <w:rsid w:val="000725A3"/>
    <w:rsid w:val="000832E1"/>
    <w:rsid w:val="0008338C"/>
    <w:rsid w:val="00086557"/>
    <w:rsid w:val="00086977"/>
    <w:rsid w:val="00093112"/>
    <w:rsid w:val="00093C12"/>
    <w:rsid w:val="000A06EE"/>
    <w:rsid w:val="000A1511"/>
    <w:rsid w:val="000A430A"/>
    <w:rsid w:val="000A5CAC"/>
    <w:rsid w:val="000A7129"/>
    <w:rsid w:val="000B2FA1"/>
    <w:rsid w:val="000B7E80"/>
    <w:rsid w:val="000D364C"/>
    <w:rsid w:val="000D685E"/>
    <w:rsid w:val="000E34BD"/>
    <w:rsid w:val="000E4089"/>
    <w:rsid w:val="000F6B15"/>
    <w:rsid w:val="00105AB5"/>
    <w:rsid w:val="00106B03"/>
    <w:rsid w:val="00112DB3"/>
    <w:rsid w:val="0011317C"/>
    <w:rsid w:val="00115546"/>
    <w:rsid w:val="0012343C"/>
    <w:rsid w:val="00133661"/>
    <w:rsid w:val="00137696"/>
    <w:rsid w:val="00142164"/>
    <w:rsid w:val="001442D9"/>
    <w:rsid w:val="00146B6D"/>
    <w:rsid w:val="0015611C"/>
    <w:rsid w:val="001634D6"/>
    <w:rsid w:val="0016403D"/>
    <w:rsid w:val="001649AE"/>
    <w:rsid w:val="001836E1"/>
    <w:rsid w:val="00186C49"/>
    <w:rsid w:val="00190395"/>
    <w:rsid w:val="001A1012"/>
    <w:rsid w:val="001A717A"/>
    <w:rsid w:val="001A73EA"/>
    <w:rsid w:val="001B368F"/>
    <w:rsid w:val="001B4671"/>
    <w:rsid w:val="001B7A58"/>
    <w:rsid w:val="001C7E46"/>
    <w:rsid w:val="001D0623"/>
    <w:rsid w:val="001D166B"/>
    <w:rsid w:val="001D3B4B"/>
    <w:rsid w:val="001D7DB8"/>
    <w:rsid w:val="001E1328"/>
    <w:rsid w:val="002017CE"/>
    <w:rsid w:val="00206F60"/>
    <w:rsid w:val="00211020"/>
    <w:rsid w:val="00211A39"/>
    <w:rsid w:val="002317FF"/>
    <w:rsid w:val="00234E8F"/>
    <w:rsid w:val="002409EB"/>
    <w:rsid w:val="00241EAF"/>
    <w:rsid w:val="00245340"/>
    <w:rsid w:val="00247E13"/>
    <w:rsid w:val="0025156D"/>
    <w:rsid w:val="00253CE3"/>
    <w:rsid w:val="00254282"/>
    <w:rsid w:val="0028238F"/>
    <w:rsid w:val="002828DB"/>
    <w:rsid w:val="002A2809"/>
    <w:rsid w:val="002A3362"/>
    <w:rsid w:val="002B0FF5"/>
    <w:rsid w:val="002C0854"/>
    <w:rsid w:val="002C0CFE"/>
    <w:rsid w:val="002E0C7B"/>
    <w:rsid w:val="002E17A6"/>
    <w:rsid w:val="002E5F9A"/>
    <w:rsid w:val="002E78F0"/>
    <w:rsid w:val="00305D32"/>
    <w:rsid w:val="003127EB"/>
    <w:rsid w:val="003215B1"/>
    <w:rsid w:val="0032240C"/>
    <w:rsid w:val="00324080"/>
    <w:rsid w:val="0032664A"/>
    <w:rsid w:val="00326B7B"/>
    <w:rsid w:val="003346E6"/>
    <w:rsid w:val="0033752A"/>
    <w:rsid w:val="00346C07"/>
    <w:rsid w:val="00356E08"/>
    <w:rsid w:val="0036292C"/>
    <w:rsid w:val="00371390"/>
    <w:rsid w:val="003871B3"/>
    <w:rsid w:val="003943C0"/>
    <w:rsid w:val="003A14F3"/>
    <w:rsid w:val="003A5C13"/>
    <w:rsid w:val="003B622B"/>
    <w:rsid w:val="003C51C9"/>
    <w:rsid w:val="003D6924"/>
    <w:rsid w:val="003E0841"/>
    <w:rsid w:val="003E2110"/>
    <w:rsid w:val="003F61A6"/>
    <w:rsid w:val="00400329"/>
    <w:rsid w:val="0040264A"/>
    <w:rsid w:val="00412252"/>
    <w:rsid w:val="00420F25"/>
    <w:rsid w:val="00423BDE"/>
    <w:rsid w:val="00431C4A"/>
    <w:rsid w:val="00447B0E"/>
    <w:rsid w:val="00471791"/>
    <w:rsid w:val="00472624"/>
    <w:rsid w:val="004736A4"/>
    <w:rsid w:val="00477A5F"/>
    <w:rsid w:val="0048127C"/>
    <w:rsid w:val="00482044"/>
    <w:rsid w:val="00483498"/>
    <w:rsid w:val="0048641D"/>
    <w:rsid w:val="0049227F"/>
    <w:rsid w:val="00496006"/>
    <w:rsid w:val="00497810"/>
    <w:rsid w:val="004A02CD"/>
    <w:rsid w:val="004A43D8"/>
    <w:rsid w:val="004B2C25"/>
    <w:rsid w:val="004B6030"/>
    <w:rsid w:val="004C78D4"/>
    <w:rsid w:val="004D24B9"/>
    <w:rsid w:val="004D7825"/>
    <w:rsid w:val="004E5C02"/>
    <w:rsid w:val="004E6B03"/>
    <w:rsid w:val="004F4A3A"/>
    <w:rsid w:val="004F5420"/>
    <w:rsid w:val="004F6946"/>
    <w:rsid w:val="00506BD3"/>
    <w:rsid w:val="00506EBE"/>
    <w:rsid w:val="005070B4"/>
    <w:rsid w:val="00514740"/>
    <w:rsid w:val="005170A1"/>
    <w:rsid w:val="005216A0"/>
    <w:rsid w:val="00521FC9"/>
    <w:rsid w:val="00532405"/>
    <w:rsid w:val="0053547E"/>
    <w:rsid w:val="0054562D"/>
    <w:rsid w:val="00552950"/>
    <w:rsid w:val="005655DE"/>
    <w:rsid w:val="005723EC"/>
    <w:rsid w:val="00581031"/>
    <w:rsid w:val="00584C5F"/>
    <w:rsid w:val="005A2710"/>
    <w:rsid w:val="005A2948"/>
    <w:rsid w:val="005C6EF8"/>
    <w:rsid w:val="005D0916"/>
    <w:rsid w:val="005E073F"/>
    <w:rsid w:val="005F144D"/>
    <w:rsid w:val="005F3DE3"/>
    <w:rsid w:val="005F48FE"/>
    <w:rsid w:val="00601D6E"/>
    <w:rsid w:val="00604503"/>
    <w:rsid w:val="00605CC9"/>
    <w:rsid w:val="00605F00"/>
    <w:rsid w:val="0061598A"/>
    <w:rsid w:val="00617E30"/>
    <w:rsid w:val="00622254"/>
    <w:rsid w:val="006237BA"/>
    <w:rsid w:val="00626D04"/>
    <w:rsid w:val="00627B40"/>
    <w:rsid w:val="00630C44"/>
    <w:rsid w:val="00630FA7"/>
    <w:rsid w:val="00643A9D"/>
    <w:rsid w:val="0065503A"/>
    <w:rsid w:val="006574ED"/>
    <w:rsid w:val="00660C93"/>
    <w:rsid w:val="00663A59"/>
    <w:rsid w:val="006701B9"/>
    <w:rsid w:val="00691B48"/>
    <w:rsid w:val="00692FF8"/>
    <w:rsid w:val="006951E5"/>
    <w:rsid w:val="00696264"/>
    <w:rsid w:val="00696F1F"/>
    <w:rsid w:val="006A6BAE"/>
    <w:rsid w:val="006B0DFE"/>
    <w:rsid w:val="006B23DB"/>
    <w:rsid w:val="006B5EA0"/>
    <w:rsid w:val="006C1DC4"/>
    <w:rsid w:val="006C36E2"/>
    <w:rsid w:val="006D0BEB"/>
    <w:rsid w:val="006D1A94"/>
    <w:rsid w:val="006D61D2"/>
    <w:rsid w:val="006E187D"/>
    <w:rsid w:val="006E3900"/>
    <w:rsid w:val="006E3DDA"/>
    <w:rsid w:val="006E4B50"/>
    <w:rsid w:val="006F4BBD"/>
    <w:rsid w:val="00702400"/>
    <w:rsid w:val="00716F1E"/>
    <w:rsid w:val="00724511"/>
    <w:rsid w:val="00724E45"/>
    <w:rsid w:val="00741DAC"/>
    <w:rsid w:val="00742EDC"/>
    <w:rsid w:val="007547F3"/>
    <w:rsid w:val="00754EF1"/>
    <w:rsid w:val="00764129"/>
    <w:rsid w:val="00774F67"/>
    <w:rsid w:val="00775DAB"/>
    <w:rsid w:val="00787475"/>
    <w:rsid w:val="0079165F"/>
    <w:rsid w:val="007A0CF4"/>
    <w:rsid w:val="007A1AA2"/>
    <w:rsid w:val="007A5066"/>
    <w:rsid w:val="007A5CF5"/>
    <w:rsid w:val="007B1FB1"/>
    <w:rsid w:val="007B7155"/>
    <w:rsid w:val="007C1476"/>
    <w:rsid w:val="007E076E"/>
    <w:rsid w:val="007E406E"/>
    <w:rsid w:val="00800BC2"/>
    <w:rsid w:val="00805267"/>
    <w:rsid w:val="00805F14"/>
    <w:rsid w:val="0082150E"/>
    <w:rsid w:val="008253A3"/>
    <w:rsid w:val="0083187E"/>
    <w:rsid w:val="008342A0"/>
    <w:rsid w:val="00840DF2"/>
    <w:rsid w:val="008423C6"/>
    <w:rsid w:val="00854598"/>
    <w:rsid w:val="00865910"/>
    <w:rsid w:val="00871D9B"/>
    <w:rsid w:val="00884EBA"/>
    <w:rsid w:val="00887B79"/>
    <w:rsid w:val="00891D4A"/>
    <w:rsid w:val="00891F77"/>
    <w:rsid w:val="00893141"/>
    <w:rsid w:val="00896A15"/>
    <w:rsid w:val="008A026D"/>
    <w:rsid w:val="008A131C"/>
    <w:rsid w:val="008A4253"/>
    <w:rsid w:val="008A5DA0"/>
    <w:rsid w:val="008A76AC"/>
    <w:rsid w:val="008B094A"/>
    <w:rsid w:val="008B110A"/>
    <w:rsid w:val="008C3C92"/>
    <w:rsid w:val="008D2203"/>
    <w:rsid w:val="008E001C"/>
    <w:rsid w:val="008E69E9"/>
    <w:rsid w:val="008F2E3D"/>
    <w:rsid w:val="008F47F7"/>
    <w:rsid w:val="008F78C8"/>
    <w:rsid w:val="00900134"/>
    <w:rsid w:val="00904146"/>
    <w:rsid w:val="00906CC4"/>
    <w:rsid w:val="009149D5"/>
    <w:rsid w:val="00917677"/>
    <w:rsid w:val="00922050"/>
    <w:rsid w:val="00926A1C"/>
    <w:rsid w:val="00945BE0"/>
    <w:rsid w:val="00946D92"/>
    <w:rsid w:val="00950A4A"/>
    <w:rsid w:val="00950E7E"/>
    <w:rsid w:val="00954854"/>
    <w:rsid w:val="00962657"/>
    <w:rsid w:val="00977745"/>
    <w:rsid w:val="0098423A"/>
    <w:rsid w:val="0098651C"/>
    <w:rsid w:val="0099030F"/>
    <w:rsid w:val="009951DF"/>
    <w:rsid w:val="009B0F57"/>
    <w:rsid w:val="009B2ABE"/>
    <w:rsid w:val="009B763E"/>
    <w:rsid w:val="009C0A2F"/>
    <w:rsid w:val="009C274E"/>
    <w:rsid w:val="009C3634"/>
    <w:rsid w:val="009C7EB6"/>
    <w:rsid w:val="009E29EA"/>
    <w:rsid w:val="009E4B56"/>
    <w:rsid w:val="009E71CC"/>
    <w:rsid w:val="009E7BFB"/>
    <w:rsid w:val="009F698E"/>
    <w:rsid w:val="009F797F"/>
    <w:rsid w:val="00A05BBE"/>
    <w:rsid w:val="00A166EF"/>
    <w:rsid w:val="00A16A55"/>
    <w:rsid w:val="00A16C0B"/>
    <w:rsid w:val="00A16DE9"/>
    <w:rsid w:val="00A20B49"/>
    <w:rsid w:val="00A23E3F"/>
    <w:rsid w:val="00A30353"/>
    <w:rsid w:val="00A30738"/>
    <w:rsid w:val="00A30AF5"/>
    <w:rsid w:val="00A30E68"/>
    <w:rsid w:val="00A31997"/>
    <w:rsid w:val="00A32FD9"/>
    <w:rsid w:val="00A356B6"/>
    <w:rsid w:val="00A443A0"/>
    <w:rsid w:val="00A6429F"/>
    <w:rsid w:val="00A72A40"/>
    <w:rsid w:val="00A77A47"/>
    <w:rsid w:val="00A80F58"/>
    <w:rsid w:val="00A81712"/>
    <w:rsid w:val="00A942DD"/>
    <w:rsid w:val="00A96A52"/>
    <w:rsid w:val="00AB3AB5"/>
    <w:rsid w:val="00AB4DCE"/>
    <w:rsid w:val="00AB7673"/>
    <w:rsid w:val="00AC6F63"/>
    <w:rsid w:val="00AC7B5B"/>
    <w:rsid w:val="00AE3867"/>
    <w:rsid w:val="00AE534C"/>
    <w:rsid w:val="00AF057E"/>
    <w:rsid w:val="00AF564F"/>
    <w:rsid w:val="00AF59F8"/>
    <w:rsid w:val="00B0007E"/>
    <w:rsid w:val="00B02C79"/>
    <w:rsid w:val="00B10846"/>
    <w:rsid w:val="00B11A4F"/>
    <w:rsid w:val="00B344CA"/>
    <w:rsid w:val="00B36638"/>
    <w:rsid w:val="00B411FF"/>
    <w:rsid w:val="00B41221"/>
    <w:rsid w:val="00B47B63"/>
    <w:rsid w:val="00B50E04"/>
    <w:rsid w:val="00B628B0"/>
    <w:rsid w:val="00B62ADA"/>
    <w:rsid w:val="00B63637"/>
    <w:rsid w:val="00B6553C"/>
    <w:rsid w:val="00B676C6"/>
    <w:rsid w:val="00B67EC3"/>
    <w:rsid w:val="00B74F4E"/>
    <w:rsid w:val="00B77698"/>
    <w:rsid w:val="00B80AB2"/>
    <w:rsid w:val="00B84A83"/>
    <w:rsid w:val="00B909DE"/>
    <w:rsid w:val="00B91022"/>
    <w:rsid w:val="00B932C2"/>
    <w:rsid w:val="00B9684E"/>
    <w:rsid w:val="00B96A90"/>
    <w:rsid w:val="00BA04A9"/>
    <w:rsid w:val="00BA251F"/>
    <w:rsid w:val="00BB2734"/>
    <w:rsid w:val="00BB7CAD"/>
    <w:rsid w:val="00BC101D"/>
    <w:rsid w:val="00BC1F7B"/>
    <w:rsid w:val="00BC6D13"/>
    <w:rsid w:val="00BC763E"/>
    <w:rsid w:val="00BC79D6"/>
    <w:rsid w:val="00BC7D02"/>
    <w:rsid w:val="00BD537E"/>
    <w:rsid w:val="00BE0327"/>
    <w:rsid w:val="00BE2197"/>
    <w:rsid w:val="00BE7D90"/>
    <w:rsid w:val="00BF0E56"/>
    <w:rsid w:val="00C0650D"/>
    <w:rsid w:val="00C0670E"/>
    <w:rsid w:val="00C06CE3"/>
    <w:rsid w:val="00C157A1"/>
    <w:rsid w:val="00C16CA2"/>
    <w:rsid w:val="00C20A55"/>
    <w:rsid w:val="00C2176E"/>
    <w:rsid w:val="00C269E5"/>
    <w:rsid w:val="00C35C8D"/>
    <w:rsid w:val="00C40773"/>
    <w:rsid w:val="00C418B4"/>
    <w:rsid w:val="00C43129"/>
    <w:rsid w:val="00C439B2"/>
    <w:rsid w:val="00C45E52"/>
    <w:rsid w:val="00C50FDE"/>
    <w:rsid w:val="00C70143"/>
    <w:rsid w:val="00C83449"/>
    <w:rsid w:val="00C90EF6"/>
    <w:rsid w:val="00CA2C92"/>
    <w:rsid w:val="00CA60D8"/>
    <w:rsid w:val="00CA72E5"/>
    <w:rsid w:val="00CA7F0F"/>
    <w:rsid w:val="00CB15FA"/>
    <w:rsid w:val="00CB4433"/>
    <w:rsid w:val="00CD0A38"/>
    <w:rsid w:val="00CD26D4"/>
    <w:rsid w:val="00CD4D89"/>
    <w:rsid w:val="00CD5A25"/>
    <w:rsid w:val="00CE6E95"/>
    <w:rsid w:val="00CF557F"/>
    <w:rsid w:val="00D22582"/>
    <w:rsid w:val="00D269E7"/>
    <w:rsid w:val="00D34D18"/>
    <w:rsid w:val="00D459B1"/>
    <w:rsid w:val="00D46E84"/>
    <w:rsid w:val="00D47B48"/>
    <w:rsid w:val="00D52602"/>
    <w:rsid w:val="00D5646F"/>
    <w:rsid w:val="00D62EBF"/>
    <w:rsid w:val="00D8166D"/>
    <w:rsid w:val="00D8724D"/>
    <w:rsid w:val="00D91260"/>
    <w:rsid w:val="00D93258"/>
    <w:rsid w:val="00D9497D"/>
    <w:rsid w:val="00D974D7"/>
    <w:rsid w:val="00DA3269"/>
    <w:rsid w:val="00DA49EC"/>
    <w:rsid w:val="00DA6B1B"/>
    <w:rsid w:val="00DC6C04"/>
    <w:rsid w:val="00DD1047"/>
    <w:rsid w:val="00DD14FE"/>
    <w:rsid w:val="00DD4768"/>
    <w:rsid w:val="00DF4660"/>
    <w:rsid w:val="00E06CE5"/>
    <w:rsid w:val="00E07146"/>
    <w:rsid w:val="00E15397"/>
    <w:rsid w:val="00E15527"/>
    <w:rsid w:val="00E17B0A"/>
    <w:rsid w:val="00E27D54"/>
    <w:rsid w:val="00E30813"/>
    <w:rsid w:val="00E36119"/>
    <w:rsid w:val="00E438FD"/>
    <w:rsid w:val="00E46749"/>
    <w:rsid w:val="00E47089"/>
    <w:rsid w:val="00E55535"/>
    <w:rsid w:val="00E56B5C"/>
    <w:rsid w:val="00E6468F"/>
    <w:rsid w:val="00E765FB"/>
    <w:rsid w:val="00E7675A"/>
    <w:rsid w:val="00E849F5"/>
    <w:rsid w:val="00E86802"/>
    <w:rsid w:val="00E874F8"/>
    <w:rsid w:val="00E87AD5"/>
    <w:rsid w:val="00E90CF3"/>
    <w:rsid w:val="00E91190"/>
    <w:rsid w:val="00E9692F"/>
    <w:rsid w:val="00E97989"/>
    <w:rsid w:val="00EA0B85"/>
    <w:rsid w:val="00EA128D"/>
    <w:rsid w:val="00EA5959"/>
    <w:rsid w:val="00EB0411"/>
    <w:rsid w:val="00EB5AA4"/>
    <w:rsid w:val="00EB753D"/>
    <w:rsid w:val="00EC7E52"/>
    <w:rsid w:val="00ED20E1"/>
    <w:rsid w:val="00ED4CD8"/>
    <w:rsid w:val="00ED5057"/>
    <w:rsid w:val="00EE5759"/>
    <w:rsid w:val="00EE6CDF"/>
    <w:rsid w:val="00F0232C"/>
    <w:rsid w:val="00F06C30"/>
    <w:rsid w:val="00F2392F"/>
    <w:rsid w:val="00F3368D"/>
    <w:rsid w:val="00F3784A"/>
    <w:rsid w:val="00F42C6B"/>
    <w:rsid w:val="00F43DBF"/>
    <w:rsid w:val="00F465BD"/>
    <w:rsid w:val="00F471BD"/>
    <w:rsid w:val="00F5649D"/>
    <w:rsid w:val="00F56DB4"/>
    <w:rsid w:val="00F570B3"/>
    <w:rsid w:val="00F66022"/>
    <w:rsid w:val="00F734B2"/>
    <w:rsid w:val="00F910E6"/>
    <w:rsid w:val="00F917BD"/>
    <w:rsid w:val="00FA398A"/>
    <w:rsid w:val="00FA54BB"/>
    <w:rsid w:val="00FB1364"/>
    <w:rsid w:val="00FB1CFF"/>
    <w:rsid w:val="00FB2152"/>
    <w:rsid w:val="00FB342E"/>
    <w:rsid w:val="00FC0039"/>
    <w:rsid w:val="00FC6B50"/>
    <w:rsid w:val="00FD0E74"/>
    <w:rsid w:val="00FD1DB8"/>
    <w:rsid w:val="00FD68FE"/>
    <w:rsid w:val="00FE3418"/>
    <w:rsid w:val="00FE48F5"/>
    <w:rsid w:val="00FE7B45"/>
    <w:rsid w:val="00FE7E6B"/>
    <w:rsid w:val="00FF2D6C"/>
    <w:rsid w:val="00FF2F05"/>
    <w:rsid w:val="00FF46F6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F89BA"/>
  <w15:docId w15:val="{689172AB-8209-4BD3-96CB-81E9836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0E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F0E5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F0E5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F0E5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F0E5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F0E5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F0E5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F0E5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F0E5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F0E5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0E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0E5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E5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E56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F0E5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0E56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BF0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0E5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0E5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0E5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0E5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BF0E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BF0E56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BF0E5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BF0E56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F0E56"/>
    <w:pPr>
      <w:ind w:left="0" w:firstLine="0"/>
    </w:pPr>
  </w:style>
  <w:style w:type="paragraph" w:customStyle="1" w:styleId="04TextoGeral">
    <w:name w:val="04_Texto Geral"/>
    <w:basedOn w:val="Normal"/>
    <w:autoRedefine/>
    <w:qFormat/>
    <w:rsid w:val="00BF0E56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BF0E56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BF0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F0E56"/>
    <w:rPr>
      <w:szCs w:val="21"/>
    </w:rPr>
  </w:style>
  <w:style w:type="paragraph" w:styleId="Rodap">
    <w:name w:val="footer"/>
    <w:basedOn w:val="Normal"/>
    <w:link w:val="RodapChar"/>
    <w:rsid w:val="00BF0E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F0E56"/>
    <w:rPr>
      <w:szCs w:val="21"/>
    </w:rPr>
  </w:style>
  <w:style w:type="paragraph" w:customStyle="1" w:styleId="06Tabelagravata">
    <w:name w:val="06_Tabela gravata"/>
    <w:basedOn w:val="Normal"/>
    <w:autoRedefine/>
    <w:qFormat/>
    <w:rsid w:val="00BF0E5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F0E56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BF0E56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BF0E5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BF0E56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BF0E56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BF0E56"/>
  </w:style>
  <w:style w:type="paragraph" w:customStyle="1" w:styleId="Textbody">
    <w:name w:val="Text body"/>
    <w:autoRedefine/>
    <w:rsid w:val="00BF0E5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BF0E56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BF0E5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BF0E5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BF0E5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BF0E5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BF0E56"/>
    <w:rPr>
      <w:sz w:val="32"/>
    </w:rPr>
  </w:style>
  <w:style w:type="paragraph" w:customStyle="1" w:styleId="01TITULO4">
    <w:name w:val="01_TITULO_4"/>
    <w:basedOn w:val="01TITULO3"/>
    <w:rsid w:val="00BF0E56"/>
    <w:rPr>
      <w:sz w:val="28"/>
    </w:rPr>
  </w:style>
  <w:style w:type="paragraph" w:customStyle="1" w:styleId="03TITULOTABELAS1">
    <w:name w:val="03_TITULO_TABELAS_1"/>
    <w:basedOn w:val="02TEXTOPRINCIPAL"/>
    <w:rsid w:val="00BF0E5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F0E5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F0E5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F0E56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F0E5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F0E56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F0E5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F0E56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BF0E56"/>
    <w:rPr>
      <w:sz w:val="21"/>
    </w:rPr>
  </w:style>
  <w:style w:type="paragraph" w:customStyle="1" w:styleId="04TEXTOTABELAS">
    <w:name w:val="04_TEXTO_TABELAS"/>
    <w:basedOn w:val="02TEXTOPRINCIPAL"/>
    <w:rsid w:val="00BF0E56"/>
    <w:pPr>
      <w:spacing w:before="0" w:after="0"/>
    </w:pPr>
  </w:style>
  <w:style w:type="paragraph" w:customStyle="1" w:styleId="05ATIVIDADES">
    <w:name w:val="05_ATIVIDADES"/>
    <w:basedOn w:val="02TEXTOITEM"/>
    <w:rsid w:val="00BF0E5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F0E5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F0E5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BF0E56"/>
    <w:rPr>
      <w:sz w:val="16"/>
    </w:rPr>
  </w:style>
  <w:style w:type="paragraph" w:customStyle="1" w:styleId="06LEGENDA">
    <w:name w:val="06_LEGENDA"/>
    <w:basedOn w:val="06CREDITO"/>
    <w:rsid w:val="00BF0E56"/>
    <w:pPr>
      <w:spacing w:before="60" w:after="60"/>
    </w:pPr>
    <w:rPr>
      <w:sz w:val="20"/>
    </w:rPr>
  </w:style>
  <w:style w:type="character" w:customStyle="1" w:styleId="A1">
    <w:name w:val="A1"/>
    <w:uiPriority w:val="99"/>
    <w:rsid w:val="00BF0E5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F0E56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BF0E5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BF0E5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F0E56"/>
    <w:pPr>
      <w:ind w:firstLine="283"/>
    </w:pPr>
  </w:style>
  <w:style w:type="character" w:styleId="Forte">
    <w:name w:val="Strong"/>
    <w:basedOn w:val="Fontepargpadro"/>
    <w:uiPriority w:val="22"/>
    <w:qFormat/>
    <w:rsid w:val="00BF0E56"/>
    <w:rPr>
      <w:b/>
      <w:bCs/>
    </w:rPr>
  </w:style>
  <w:style w:type="paragraph" w:customStyle="1" w:styleId="Hangingindent">
    <w:name w:val="Hanging indent"/>
    <w:basedOn w:val="Textbody"/>
    <w:rsid w:val="00BF0E5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F0E5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F0E56"/>
    <w:rPr>
      <w:color w:val="954F72" w:themeColor="followedHyperlink"/>
      <w:u w:val="single"/>
    </w:rPr>
  </w:style>
  <w:style w:type="paragraph" w:customStyle="1" w:styleId="Index">
    <w:name w:val="Index"/>
    <w:rsid w:val="00BF0E5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BF0E5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F0E56"/>
    <w:pPr>
      <w:numPr>
        <w:numId w:val="14"/>
      </w:numPr>
    </w:pPr>
  </w:style>
  <w:style w:type="numbering" w:customStyle="1" w:styleId="LFO3">
    <w:name w:val="LFO3"/>
    <w:basedOn w:val="Semlista"/>
    <w:rsid w:val="00BF0E56"/>
    <w:pPr>
      <w:numPr>
        <w:numId w:val="10"/>
      </w:numPr>
    </w:pPr>
  </w:style>
  <w:style w:type="paragraph" w:customStyle="1" w:styleId="ListIndent">
    <w:name w:val="List Indent"/>
    <w:basedOn w:val="Textbody"/>
    <w:rsid w:val="00BF0E5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F0E56"/>
    <w:rPr>
      <w:rFonts w:cs="Mangal"/>
      <w:sz w:val="24"/>
    </w:rPr>
  </w:style>
  <w:style w:type="character" w:customStyle="1" w:styleId="LYBOLDLIGHT">
    <w:name w:val="LY_BOLD_LIGHT"/>
    <w:uiPriority w:val="99"/>
    <w:rsid w:val="00BF0E5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F0E5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F0E56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BF0E5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F0E5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BF0E5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F0E56"/>
    <w:pPr>
      <w:suppressLineNumbers/>
    </w:pPr>
  </w:style>
  <w:style w:type="character" w:customStyle="1" w:styleId="SaudaoChar">
    <w:name w:val="Saudação Char"/>
    <w:basedOn w:val="Fontepargpadro"/>
    <w:link w:val="Saudao"/>
    <w:rsid w:val="00BF0E5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BF0E56"/>
    <w:pPr>
      <w:suppressLineNumbers/>
    </w:pPr>
  </w:style>
  <w:style w:type="paragraph" w:customStyle="1" w:styleId="Textbodyindent">
    <w:name w:val="Text body indent"/>
    <w:basedOn w:val="Textbody"/>
    <w:rsid w:val="00BF0E56"/>
    <w:pPr>
      <w:ind w:left="283"/>
    </w:pPr>
  </w:style>
  <w:style w:type="character" w:customStyle="1" w:styleId="Ttulo1Char">
    <w:name w:val="Título 1 Char"/>
    <w:basedOn w:val="Fontepargpadro"/>
    <w:link w:val="Ttulo1"/>
    <w:rsid w:val="00BF0E5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F0E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F0E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F0E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F0E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F0E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F0E5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F0E5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F0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C0D3-D534-4593-8D2F-A428C6BA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4537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Aderson Assis de Oliveira Filho</cp:lastModifiedBy>
  <cp:revision>31</cp:revision>
  <cp:lastPrinted>2018-06-21T13:43:00Z</cp:lastPrinted>
  <dcterms:created xsi:type="dcterms:W3CDTF">2018-08-28T10:52:00Z</dcterms:created>
  <dcterms:modified xsi:type="dcterms:W3CDTF">2018-10-11T22:33:00Z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-1478771645</vt:i4>
  </property>
  <property fmtid="{D5CDD505-2E9C-101B-9397-08002B2CF9AE}" pid="3" name="_NewReviewCycle">
    <vt:lpwstr/>
  </property>
  <property fmtid="{D5CDD505-2E9C-101B-9397-08002B2CF9AE}" pid="4" name="_EmailSubject">
    <vt:lpwstr>Material em Word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