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8E1D2A" w14:textId="77777777" w:rsidR="006208F1" w:rsidRPr="007D0EAB" w:rsidRDefault="006208F1" w:rsidP="006208F1">
      <w:pPr>
        <w:pStyle w:val="01TITULO2"/>
        <w:rPr>
          <w:sz w:val="40"/>
          <w:szCs w:val="40"/>
        </w:rPr>
      </w:pPr>
      <w:r w:rsidRPr="007D0EAB">
        <w:rPr>
          <w:sz w:val="40"/>
          <w:szCs w:val="40"/>
        </w:rPr>
        <w:t>ACOMPANHAMENTO DE APRENDIZAGEM</w:t>
      </w:r>
    </w:p>
    <w:p w14:paraId="4001A0E9" w14:textId="77777777" w:rsidR="006208F1" w:rsidRPr="00916357" w:rsidRDefault="006208F1" w:rsidP="006208F1">
      <w:pPr>
        <w:pStyle w:val="02TEXTOPRINCIPAL"/>
      </w:pPr>
    </w:p>
    <w:p w14:paraId="3F89D249" w14:textId="557B9987" w:rsidR="007D0EAB" w:rsidRDefault="007D0EAB" w:rsidP="00427A71">
      <w:pPr>
        <w:pStyle w:val="01TITULO3"/>
      </w:pPr>
      <w:r>
        <w:t>GABARITO COMENTADO</w:t>
      </w:r>
    </w:p>
    <w:p w14:paraId="4A0F5535" w14:textId="77777777" w:rsidR="007D0EAB" w:rsidRDefault="007D0EAB" w:rsidP="00427A71">
      <w:pPr>
        <w:pStyle w:val="01TITULO3"/>
      </w:pPr>
    </w:p>
    <w:p w14:paraId="02D1A620" w14:textId="2555078C" w:rsidR="00122A01" w:rsidRDefault="00B27369" w:rsidP="00427A71">
      <w:pPr>
        <w:pStyle w:val="01TITULO3"/>
      </w:pPr>
      <w:r w:rsidRPr="00B27369">
        <w:t xml:space="preserve">Ciências da Natureza </w:t>
      </w:r>
      <w:r w:rsidR="00122A01" w:rsidRPr="009E45B4">
        <w:t xml:space="preserve">– </w:t>
      </w:r>
      <w:r w:rsidR="006C4B1F">
        <w:t>9</w:t>
      </w:r>
      <w:r w:rsidR="00122A01" w:rsidRPr="009E45B4">
        <w:t xml:space="preserve">º ano – </w:t>
      </w:r>
      <w:r w:rsidR="00122A01">
        <w:t>1</w:t>
      </w:r>
      <w:r w:rsidR="00122A01" w:rsidRPr="009E45B4">
        <w:t>º bimestre</w:t>
      </w:r>
    </w:p>
    <w:p w14:paraId="4AC0731D" w14:textId="7D7FEBA7" w:rsidR="00122A01" w:rsidRDefault="00122A01" w:rsidP="006208F1">
      <w:pPr>
        <w:pStyle w:val="02TEXTOPRINCIPAL"/>
      </w:pPr>
    </w:p>
    <w:p w14:paraId="540CF45A" w14:textId="77777777" w:rsidR="00122A01" w:rsidRPr="009E45B4" w:rsidRDefault="00122A01" w:rsidP="00427A71">
      <w:pPr>
        <w:pStyle w:val="01TITULO4"/>
      </w:pPr>
      <w:r w:rsidRPr="009E45B4">
        <w:t>Questão 1</w:t>
      </w:r>
    </w:p>
    <w:p w14:paraId="4A75C29C" w14:textId="77777777" w:rsidR="006C4B1F" w:rsidRPr="006C4B1F" w:rsidRDefault="006C4B1F" w:rsidP="006C4B1F">
      <w:pPr>
        <w:pStyle w:val="02TEXTOPRINCIPAL"/>
      </w:pPr>
      <w:r w:rsidRPr="006C4B1F">
        <w:t>Sequência correta: A-II; B-III; C-IV; D-I.</w:t>
      </w:r>
    </w:p>
    <w:p w14:paraId="3F87B5BC" w14:textId="22B7B423" w:rsidR="00B27369" w:rsidRPr="00B27369" w:rsidRDefault="006C4B1F" w:rsidP="006C4B1F">
      <w:pPr>
        <w:pStyle w:val="02TEXTOPRINCIPAL"/>
      </w:pPr>
      <w:bookmarkStart w:id="0" w:name="_itab4dbrwpph" w:colFirst="0" w:colLast="0"/>
      <w:bookmarkEnd w:id="0"/>
      <w:r w:rsidRPr="006C4B1F">
        <w:t xml:space="preserve">Para responder à questão, os alunos devem compreender os diferentes modelos atômicos propostos ao longo da História por diversos cientistas. Além disso, precisam ser capazes de distinguir esses modelos atribuindo a cada um deles suas características representativas. Caso os alunos apresentem dificuldades, retome os textos das seções </w:t>
      </w:r>
      <w:r w:rsidRPr="006C4B1F">
        <w:rPr>
          <w:i/>
        </w:rPr>
        <w:t>A Teoria Atômica de Dalton</w:t>
      </w:r>
      <w:r w:rsidRPr="006C4B1F">
        <w:t xml:space="preserve"> do capítulo 1; </w:t>
      </w:r>
      <w:r w:rsidRPr="006C4B1F">
        <w:rPr>
          <w:i/>
        </w:rPr>
        <w:t xml:space="preserve">Modelo atômico de Rutherford </w:t>
      </w:r>
      <w:r w:rsidRPr="006C4B1F">
        <w:t xml:space="preserve">do capítulo 2; e </w:t>
      </w:r>
      <w:r w:rsidRPr="006C4B1F">
        <w:rPr>
          <w:i/>
        </w:rPr>
        <w:t>Modelo atômico de Bohr</w:t>
      </w:r>
      <w:r w:rsidRPr="006C4B1F">
        <w:t xml:space="preserve"> e </w:t>
      </w:r>
      <w:r w:rsidRPr="006C4B1F">
        <w:rPr>
          <w:i/>
        </w:rPr>
        <w:t>Algumas aplicações do modelo de Bohr</w:t>
      </w:r>
      <w:r w:rsidRPr="006C4B1F">
        <w:t xml:space="preserve"> do capítulo 3 do Livro do Estudante.</w:t>
      </w:r>
    </w:p>
    <w:p w14:paraId="1729286E" w14:textId="77777777" w:rsidR="00122A01" w:rsidRPr="009E45B4" w:rsidRDefault="00122A01" w:rsidP="00427A71">
      <w:pPr>
        <w:pStyle w:val="02TEXTOPRINCIPAL"/>
      </w:pPr>
    </w:p>
    <w:p w14:paraId="2100B005" w14:textId="77777777" w:rsidR="00122A01" w:rsidRPr="009E45B4" w:rsidRDefault="00122A01" w:rsidP="00427A71">
      <w:pPr>
        <w:pStyle w:val="01TITULO4"/>
      </w:pPr>
      <w:r w:rsidRPr="009E45B4">
        <w:t>Questão 2</w:t>
      </w:r>
    </w:p>
    <w:p w14:paraId="37377BF9" w14:textId="77777777" w:rsidR="006C4B1F" w:rsidRPr="006C4B1F" w:rsidRDefault="006C4B1F" w:rsidP="006C4B1F">
      <w:pPr>
        <w:pStyle w:val="02TEXTOPRINCIPAL"/>
      </w:pPr>
      <w:r w:rsidRPr="006C4B1F">
        <w:t>Andreia.</w:t>
      </w:r>
    </w:p>
    <w:p w14:paraId="51FFE136" w14:textId="669BD672" w:rsidR="00B27369" w:rsidRPr="00B27369" w:rsidRDefault="006C4B1F" w:rsidP="006C4B1F">
      <w:pPr>
        <w:pStyle w:val="02TEXTOPRINCIPAL"/>
      </w:pPr>
      <w:bookmarkStart w:id="1" w:name="_biz5dintwvre" w:colFirst="0" w:colLast="0"/>
      <w:bookmarkEnd w:id="1"/>
      <w:r w:rsidRPr="006C4B1F">
        <w:t xml:space="preserve">Para responder à questão, os alunos devem compreender os conceitos de temperatura de fusão e temperatura de ebulição e ser capazes de aplicá-los em situações do cotidiano. Caso tenham dificuldade, retome o conteúdo apresentado no texto da seção </w:t>
      </w:r>
      <w:r w:rsidRPr="006C4B1F">
        <w:rPr>
          <w:i/>
        </w:rPr>
        <w:t>Temperatura de fusão (TF) e temperatura de ebulição (TE)</w:t>
      </w:r>
      <w:r w:rsidRPr="006C4B1F">
        <w:t xml:space="preserve"> do capítulo 1 do Livro do Estudante.</w:t>
      </w:r>
    </w:p>
    <w:p w14:paraId="7184D79A" w14:textId="77777777" w:rsidR="00122A01" w:rsidRPr="009E45B4" w:rsidRDefault="00122A01" w:rsidP="00427A71">
      <w:pPr>
        <w:pStyle w:val="02TEXTOPRINCIPAL"/>
      </w:pPr>
    </w:p>
    <w:p w14:paraId="105027F5" w14:textId="77777777" w:rsidR="00122A01" w:rsidRPr="009E45B4" w:rsidRDefault="00122A01" w:rsidP="00427A71">
      <w:pPr>
        <w:pStyle w:val="01TITULO4"/>
      </w:pPr>
      <w:r w:rsidRPr="009E45B4">
        <w:t>Questão 3</w:t>
      </w:r>
    </w:p>
    <w:p w14:paraId="56DED153" w14:textId="09DD74B8" w:rsidR="006C4B1F" w:rsidRPr="006C4B1F" w:rsidRDefault="006C4B1F" w:rsidP="00931BDE">
      <w:pPr>
        <w:pStyle w:val="02TEXTOPRINCIPAL"/>
      </w:pPr>
      <w:r w:rsidRPr="006C4B1F">
        <w:t>Quando o ambiente está iluminado, alguns elétrons que compõem os átomos do sulfeto de zinco absorvem energia luminosa e saltam para níveis de energia mais externos. Quando a luz é apagada, os elétrons retornam aos seus níveis de energia de origem, liberando energia luminosa e fazendo a figurinha brilhar. Esse comportamento dos átomos é explicado pelo modelo atômico de Rutherford-Bohr, que propõe que um átomo é composto de um núcleo positivo rodeado por uma eletrosfera dividida em diferentes níveis energéticos, n</w:t>
      </w:r>
      <w:r w:rsidR="004A44BB">
        <w:t>o</w:t>
      </w:r>
      <w:r w:rsidRPr="006C4B1F">
        <w:t>s quais estão os elétrons. Os elétrons de uma mesma camada possuem o mesmo nível de energia, mas podem saltar para um nível maior ao receberem energia a partir de uma fonte externa. É o que acontece com os átomos constituintes do sulfeto de zinco na figurinha ao receberem energia de uma fonte luminosa. O modelo de Rutherford-Bohr também explica que esses elétrons que saltam para uma camada maior ficam instáveis e tendem a retornar para sua camada de origem, devolvendo a energia que receberam em forma de luz, exatamente como ocorre com as figurinhas no escuro.</w:t>
      </w:r>
    </w:p>
    <w:p w14:paraId="40D70EE6" w14:textId="0D233F53" w:rsidR="00B27369" w:rsidRPr="00B27369" w:rsidRDefault="006C4B1F" w:rsidP="00931BDE">
      <w:pPr>
        <w:pStyle w:val="02TEXTOPRINCIPAL"/>
      </w:pPr>
      <w:r w:rsidRPr="006C4B1F">
        <w:t>Para responder à questão, os alunos devem compreender o modelo atômico de Rutherford-Bohr, assim como suas premissas. Também devem ser capazes de estabelecer relações a partir desse entendimento para formular a resposta. Se tiverem dificuldade, conduza uma discussão e forneça materiais de apoio, como o texto disponível em</w:t>
      </w:r>
      <w:r w:rsidR="00C66910">
        <w:t>:</w:t>
      </w:r>
      <w:r w:rsidRPr="006C4B1F">
        <w:t xml:space="preserve"> &lt;</w:t>
      </w:r>
      <w:hyperlink r:id="rId7" w:history="1">
        <w:r w:rsidRPr="00456A94">
          <w:rPr>
            <w:rStyle w:val="Hyperlink"/>
          </w:rPr>
          <w:t>https://super.abril.com.br/ciencia/como-funcionam-os-adesivos-que-brilham-no-escuro/</w:t>
        </w:r>
      </w:hyperlink>
      <w:r w:rsidRPr="006C4B1F">
        <w:t>&gt;</w:t>
      </w:r>
      <w:r w:rsidR="00AF0045">
        <w:t>.</w:t>
      </w:r>
      <w:r w:rsidRPr="006C4B1F">
        <w:t xml:space="preserve"> (Acesso em: </w:t>
      </w:r>
      <w:r w:rsidR="00C66910">
        <w:t>out</w:t>
      </w:r>
      <w:r w:rsidRPr="006C4B1F">
        <w:t>. 2018.)</w:t>
      </w:r>
    </w:p>
    <w:p w14:paraId="648E419A" w14:textId="77777777" w:rsidR="00355AA8" w:rsidRDefault="00355AA8" w:rsidP="00931BDE">
      <w:pPr>
        <w:pStyle w:val="02TEXTOPRINCIPAL"/>
      </w:pPr>
    </w:p>
    <w:p w14:paraId="131FE952" w14:textId="77777777" w:rsidR="00355AA8" w:rsidRPr="009E45B4" w:rsidRDefault="00355AA8" w:rsidP="00355AA8">
      <w:pPr>
        <w:pStyle w:val="01TITULO4"/>
      </w:pPr>
      <w:r w:rsidRPr="009E45B4">
        <w:t xml:space="preserve">Questão </w:t>
      </w:r>
      <w:r>
        <w:t>4</w:t>
      </w:r>
    </w:p>
    <w:p w14:paraId="6B7799C3" w14:textId="77777777" w:rsidR="006C4B1F" w:rsidRPr="006C4B1F" w:rsidRDefault="006C4B1F" w:rsidP="00931BDE">
      <w:pPr>
        <w:pStyle w:val="02TEXTOPRINCIPAL"/>
      </w:pPr>
      <w:r w:rsidRPr="006C4B1F">
        <w:t xml:space="preserve">Alternativa correta: </w:t>
      </w:r>
      <w:r w:rsidRPr="006C4B1F">
        <w:rPr>
          <w:b/>
        </w:rPr>
        <w:t>E</w:t>
      </w:r>
      <w:r w:rsidRPr="006C4B1F">
        <w:t xml:space="preserve">. </w:t>
      </w:r>
    </w:p>
    <w:p w14:paraId="26B897D7" w14:textId="75DB2C00" w:rsidR="006C4B1F" w:rsidRDefault="006C4B1F" w:rsidP="00931BDE">
      <w:pPr>
        <w:pStyle w:val="02TEXTOPRINCIPAL"/>
      </w:pPr>
      <w:r w:rsidRPr="006C4B1F">
        <w:t xml:space="preserve">Caso os alunos selecionem as alternativas </w:t>
      </w:r>
      <w:proofErr w:type="gramStart"/>
      <w:r w:rsidRPr="006C4B1F">
        <w:rPr>
          <w:b/>
        </w:rPr>
        <w:t>A</w:t>
      </w:r>
      <w:r w:rsidRPr="006C4B1F">
        <w:t xml:space="preserve">, </w:t>
      </w:r>
      <w:r w:rsidRPr="006C4B1F">
        <w:rPr>
          <w:b/>
        </w:rPr>
        <w:t>B</w:t>
      </w:r>
      <w:proofErr w:type="gramEnd"/>
      <w:r w:rsidRPr="006C4B1F">
        <w:t xml:space="preserve">, </w:t>
      </w:r>
      <w:r w:rsidRPr="006C4B1F">
        <w:rPr>
          <w:b/>
        </w:rPr>
        <w:t>C</w:t>
      </w:r>
      <w:r w:rsidRPr="006C4B1F">
        <w:t xml:space="preserve"> ou </w:t>
      </w:r>
      <w:r w:rsidRPr="006C4B1F">
        <w:rPr>
          <w:b/>
        </w:rPr>
        <w:t>D</w:t>
      </w:r>
      <w:r w:rsidR="009C22FB">
        <w:t>,</w:t>
      </w:r>
      <w:r w:rsidRPr="006C4B1F">
        <w:t xml:space="preserve"> é possível que ainda não saibam utilizar a tabela periódica ou não tenham compreendido o processo de distribuição eletrônica. Se julgar necessário, retome o conteúdo apresentado nas seções </w:t>
      </w:r>
      <w:r w:rsidRPr="006C4B1F">
        <w:rPr>
          <w:i/>
        </w:rPr>
        <w:t>Distribuição eletrônica nas camadas</w:t>
      </w:r>
      <w:r w:rsidRPr="006C4B1F">
        <w:t xml:space="preserve"> e </w:t>
      </w:r>
      <w:r w:rsidRPr="006C4B1F">
        <w:rPr>
          <w:i/>
        </w:rPr>
        <w:t>Distribuição eletrônica e tabela periódica</w:t>
      </w:r>
      <w:r w:rsidRPr="006C4B1F">
        <w:t xml:space="preserve"> do capítulo 3 do Livro do Estudante e peça </w:t>
      </w:r>
      <w:r w:rsidR="00DA57A8">
        <w:t>a</w:t>
      </w:r>
      <w:r w:rsidR="00DA57A8" w:rsidRPr="006C4B1F">
        <w:t xml:space="preserve"> </w:t>
      </w:r>
      <w:r w:rsidRPr="006C4B1F">
        <w:t xml:space="preserve">eles </w:t>
      </w:r>
      <w:r w:rsidR="00DA57A8">
        <w:t xml:space="preserve">que </w:t>
      </w:r>
      <w:r w:rsidR="00DA57A8" w:rsidRPr="006C4B1F">
        <w:t>resolv</w:t>
      </w:r>
      <w:r w:rsidR="00DA57A8">
        <w:t>am</w:t>
      </w:r>
      <w:r w:rsidR="00DA57A8" w:rsidRPr="006C4B1F">
        <w:t xml:space="preserve"> </w:t>
      </w:r>
      <w:r w:rsidRPr="006C4B1F">
        <w:t xml:space="preserve">a questão 9 da </w:t>
      </w:r>
      <w:proofErr w:type="gramStart"/>
      <w:r w:rsidRPr="006C4B1F">
        <w:t xml:space="preserve">seção </w:t>
      </w:r>
      <w:r w:rsidR="00912CEC">
        <w:rPr>
          <w:i/>
        </w:rPr>
        <w:t>Use</w:t>
      </w:r>
      <w:proofErr w:type="gramEnd"/>
      <w:r w:rsidR="00912CEC">
        <w:rPr>
          <w:i/>
        </w:rPr>
        <w:t xml:space="preserve"> o que aprendeu </w:t>
      </w:r>
      <w:r w:rsidRPr="006C4B1F">
        <w:t>desse mesmo capítulo.</w:t>
      </w:r>
      <w:r>
        <w:br w:type="page"/>
      </w:r>
    </w:p>
    <w:p w14:paraId="196E8FC5" w14:textId="77777777" w:rsidR="00122A01" w:rsidRPr="009E45B4" w:rsidRDefault="00122A01" w:rsidP="00427A71">
      <w:pPr>
        <w:pStyle w:val="01TITULO4"/>
      </w:pPr>
      <w:r w:rsidRPr="009E45B4">
        <w:lastRenderedPageBreak/>
        <w:t xml:space="preserve">Questão </w:t>
      </w:r>
      <w:r>
        <w:t>5</w:t>
      </w:r>
    </w:p>
    <w:p w14:paraId="46CDE232" w14:textId="77777777" w:rsidR="006C4B1F" w:rsidRDefault="006C4B1F" w:rsidP="006C4B1F">
      <w:pPr>
        <w:pStyle w:val="02TEXTOPRINCIPAL"/>
      </w:pPr>
      <w:r w:rsidRPr="006C4B1F">
        <w:t>Pela lei da conservação da massa (lei de Lavoisier), a massa total dos reagentes é igual à massa total dos produtos.</w:t>
      </w:r>
    </w:p>
    <w:p w14:paraId="2BE78333" w14:textId="77777777" w:rsidR="006C4B1F" w:rsidRDefault="006C4B1F" w:rsidP="006C4B1F">
      <w:pPr>
        <w:pStyle w:val="02TEXTOPRINCIPAL"/>
      </w:pPr>
    </w:p>
    <w:p w14:paraId="769D8238" w14:textId="636B7154" w:rsidR="006C4B1F" w:rsidRPr="006C4B1F" w:rsidRDefault="006C4B1F" w:rsidP="006C4B1F">
      <w:pPr>
        <w:pStyle w:val="02TEXTOPRINCIPAL"/>
      </w:pPr>
      <w:r w:rsidRPr="006C4B1F">
        <w:t xml:space="preserve">Caso 1: </w:t>
      </w:r>
    </w:p>
    <w:p w14:paraId="13998DFD" w14:textId="77777777" w:rsidR="006C4B1F" w:rsidRPr="006C4B1F" w:rsidRDefault="006C4B1F" w:rsidP="006C4B1F">
      <w:pPr>
        <w:pStyle w:val="02TEXTOPRINCIPAL"/>
      </w:pPr>
      <w:r w:rsidRPr="006C4B1F">
        <w:t>Mercúrio + enxofre -&gt; sulfeto de mercúrio + excesso</w:t>
      </w:r>
    </w:p>
    <w:p w14:paraId="04E8EF44" w14:textId="77777777" w:rsidR="006C4B1F" w:rsidRPr="006C4B1F" w:rsidRDefault="006C4B1F" w:rsidP="006C4B1F">
      <w:pPr>
        <w:pStyle w:val="02TEXTOPRINCIPAL"/>
      </w:pPr>
      <w:r w:rsidRPr="006C4B1F">
        <w:t xml:space="preserve">25 g + 5 g -&gt; 29 g + 1 g de enxofre </w:t>
      </w:r>
    </w:p>
    <w:p w14:paraId="772FBAB3" w14:textId="77777777" w:rsidR="006C4B1F" w:rsidRPr="006C4B1F" w:rsidRDefault="006C4B1F" w:rsidP="006C4B1F">
      <w:pPr>
        <w:pStyle w:val="02TEXTOPRINCIPAL"/>
      </w:pPr>
      <w:r w:rsidRPr="006C4B1F">
        <w:t>Logo, o total de massa dos reagentes (30 g) é igual à massa dos produtos (sulfeto de mercúrio + excesso de enxofre) (30 g).</w:t>
      </w:r>
    </w:p>
    <w:p w14:paraId="7D1A4B4D" w14:textId="77777777" w:rsidR="006C4B1F" w:rsidRPr="006C4B1F" w:rsidRDefault="006C4B1F" w:rsidP="006C4B1F">
      <w:pPr>
        <w:pStyle w:val="02TEXTOPRINCIPAL"/>
      </w:pPr>
    </w:p>
    <w:p w14:paraId="74C7C6ED" w14:textId="77777777" w:rsidR="006C4B1F" w:rsidRPr="006C4B1F" w:rsidRDefault="006C4B1F" w:rsidP="006C4B1F">
      <w:pPr>
        <w:pStyle w:val="02TEXTOPRINCIPAL"/>
      </w:pPr>
      <w:r w:rsidRPr="006C4B1F">
        <w:t>Caso 2:</w:t>
      </w:r>
    </w:p>
    <w:p w14:paraId="2F2758FA" w14:textId="77777777" w:rsidR="006C4B1F" w:rsidRPr="006C4B1F" w:rsidRDefault="006C4B1F" w:rsidP="006C4B1F">
      <w:pPr>
        <w:pStyle w:val="02TEXTOPRINCIPAL"/>
      </w:pPr>
      <w:r w:rsidRPr="006C4B1F">
        <w:t>Mercúrio + enxofre -&gt; sulfeto de mercúrio</w:t>
      </w:r>
    </w:p>
    <w:p w14:paraId="138D316F" w14:textId="77777777" w:rsidR="006C4B1F" w:rsidRPr="006C4B1F" w:rsidRDefault="006C4B1F" w:rsidP="006C4B1F">
      <w:pPr>
        <w:pStyle w:val="02TEXTOPRINCIPAL"/>
      </w:pPr>
      <w:r w:rsidRPr="006C4B1F">
        <w:t xml:space="preserve">60 g + 9,6 g -&gt; 69,6 g </w:t>
      </w:r>
    </w:p>
    <w:p w14:paraId="2AAE3529" w14:textId="77777777" w:rsidR="006C4B1F" w:rsidRPr="006C4B1F" w:rsidRDefault="006C4B1F" w:rsidP="006C4B1F">
      <w:pPr>
        <w:pStyle w:val="02TEXTOPRINCIPAL"/>
      </w:pPr>
      <w:r w:rsidRPr="006C4B1F">
        <w:t>Logo, o total de massa dos reagentes (69,6 g) é igual à massa dos produtos (69,6 g).</w:t>
      </w:r>
    </w:p>
    <w:p w14:paraId="783A2475" w14:textId="77777777" w:rsidR="006C4B1F" w:rsidRPr="006C4B1F" w:rsidRDefault="006C4B1F" w:rsidP="006C4B1F">
      <w:pPr>
        <w:pStyle w:val="02TEXTOPRINCIPAL"/>
      </w:pPr>
    </w:p>
    <w:p w14:paraId="0A1D4724" w14:textId="6995900B" w:rsidR="00B27369" w:rsidRPr="00B27369" w:rsidRDefault="006C4B1F" w:rsidP="006C4B1F">
      <w:pPr>
        <w:pStyle w:val="02TEXTOPRINCIPAL"/>
      </w:pPr>
      <w:r w:rsidRPr="006C4B1F">
        <w:t>Pela lei das proporções definidas (lei de Proust), as massas dos reagentes e dos produtos participantes de uma reação mantêm uma proporção constante.</w:t>
      </w:r>
    </w:p>
    <w:bookmarkStart w:id="2" w:name="_Hlk524431022"/>
    <w:p w14:paraId="22E33645" w14:textId="15B1CE49" w:rsidR="006C4B1F" w:rsidRDefault="00850085" w:rsidP="006C4B1F">
      <w:pPr>
        <w:pStyle w:val="02TEXTOPRINCIPAL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massa de mercúrio do caso 1</m:t>
            </m:r>
          </m:num>
          <m:den>
            <m:r>
              <m:rPr>
                <m:nor/>
              </m:rPr>
              <m:t>massa de enxofre do caso 1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</m:t>
        </m:r>
      </m:oMath>
      <w:bookmarkEnd w:id="2"/>
      <w:r w:rsidR="006C4B1F" w:rsidRPr="006C4B1F">
        <w:rPr>
          <w:highlight w:val="white"/>
        </w:rPr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25</m:t>
            </m:r>
            <m:r>
              <m:rPr>
                <m:sty m:val="p"/>
              </m:rPr>
              <w:rPr>
                <w:rFonts w:ascii="Cambria Math" w:hAnsi="Cambria Math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4g</m:t>
            </m:r>
          </m:den>
        </m:f>
      </m:oMath>
      <w:r w:rsidR="006C4B1F" w:rsidRPr="006C4B1F">
        <w:rPr>
          <w:highlight w:val="white"/>
        </w:rPr>
        <w:t xml:space="preserve"> = 6,25</w:t>
      </w:r>
      <w:r w:rsidR="006C4B1F" w:rsidRPr="006C4B1F">
        <w:t xml:space="preserve"> g</w:t>
      </w:r>
    </w:p>
    <w:p w14:paraId="3C2BAFC9" w14:textId="77777777" w:rsidR="00306998" w:rsidRPr="006C4B1F" w:rsidDel="00993AEC" w:rsidRDefault="00306998" w:rsidP="006C4B1F">
      <w:pPr>
        <w:pStyle w:val="02TEXTOPRINCIPAL"/>
      </w:pPr>
    </w:p>
    <w:p w14:paraId="3C3D9182" w14:textId="4F5E343C" w:rsidR="00122A01" w:rsidRDefault="006C4B1F" w:rsidP="00427A71">
      <w:pPr>
        <w:pStyle w:val="02TEXTOPRINCIPAL"/>
      </w:pPr>
      <w:r w:rsidRPr="006C4B1F">
        <w:t>No caso 1</w:t>
      </w:r>
      <w:r w:rsidR="004C4434">
        <w:t>,</w:t>
      </w:r>
      <w:r w:rsidRPr="006C4B1F">
        <w:t xml:space="preserve"> é importante o aluno saber que apenas 4</w:t>
      </w:r>
      <w:bookmarkStart w:id="3" w:name="_GoBack"/>
      <w:bookmarkEnd w:id="3"/>
      <w:r w:rsidRPr="006C4B1F">
        <w:t xml:space="preserve"> g de enxofre reage</w:t>
      </w:r>
      <w:r w:rsidR="004C4434">
        <w:t>m</w:t>
      </w:r>
      <w:r w:rsidRPr="006C4B1F">
        <w:t xml:space="preserve"> com o mercúrio e 1 g é excesso</w:t>
      </w:r>
      <w:r w:rsidR="00D1362C">
        <w:t>.</w:t>
      </w:r>
    </w:p>
    <w:p w14:paraId="6BB735F8" w14:textId="77777777" w:rsidR="00306998" w:rsidRDefault="00306998" w:rsidP="00427A71">
      <w:pPr>
        <w:pStyle w:val="02TEXTOPRINCIPAL"/>
      </w:pPr>
    </w:p>
    <w:p w14:paraId="3FFC324F" w14:textId="6B8AE44A" w:rsidR="006C4B1F" w:rsidRPr="006C4B1F" w:rsidRDefault="00850085" w:rsidP="00427A71">
      <w:pPr>
        <w:pStyle w:val="02TEXTOPRINCIPAL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massa de mercúrio do caso 2</m:t>
            </m:r>
          </m:num>
          <m:den>
            <m:r>
              <m:rPr>
                <m:nor/>
              </m:rPr>
              <m:t>massa de enxofre do caso 2</m:t>
            </m:r>
          </m:den>
        </m:f>
      </m:oMath>
      <w:r w:rsidR="006C4B1F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60</m:t>
            </m:r>
            <m:r>
              <m:rPr>
                <m:sty m:val="p"/>
              </m:rPr>
              <w:rPr>
                <w:rFonts w:ascii="Cambria Math" w:hAnsi="Cambria Math"/>
              </w:rPr>
              <m:t>g</m:t>
            </m:r>
          </m:num>
          <m:den>
            <m:r>
              <w:rPr>
                <w:rFonts w:ascii="Cambria Math" w:hAnsi="Cambria Math"/>
              </w:rPr>
              <m:t>9,6</m:t>
            </m:r>
            <m:r>
              <m:rPr>
                <m:sty m:val="p"/>
              </m:rPr>
              <w:rPr>
                <w:rFonts w:ascii="Cambria Math" w:hAnsi="Cambria Math"/>
              </w:rPr>
              <m:t>g</m:t>
            </m:r>
          </m:den>
        </m:f>
      </m:oMath>
      <w:r w:rsidR="00306998">
        <w:t xml:space="preserve"> = 6,25 g</w:t>
      </w:r>
    </w:p>
    <w:p w14:paraId="46163853" w14:textId="1407DA2C" w:rsidR="006C4B1F" w:rsidRDefault="006C4B1F" w:rsidP="00427A71">
      <w:pPr>
        <w:pStyle w:val="02TEXTOPRINCIPAL"/>
      </w:pPr>
    </w:p>
    <w:p w14:paraId="0C498C60" w14:textId="5CFF63DB" w:rsidR="00306998" w:rsidRPr="00306998" w:rsidRDefault="00306998" w:rsidP="00306998">
      <w:pPr>
        <w:pStyle w:val="02TEXTOPRINCIPAL"/>
      </w:pPr>
      <w:r w:rsidRPr="00306998">
        <w:t xml:space="preserve">Caso os alunos apresentem dificuldades para responder à questão, retome as seções </w:t>
      </w:r>
      <w:r w:rsidRPr="00306998">
        <w:rPr>
          <w:i/>
        </w:rPr>
        <w:t xml:space="preserve">A Lei da Conservação da Massa </w:t>
      </w:r>
      <w:r w:rsidRPr="00445FA8">
        <w:t>e</w:t>
      </w:r>
      <w:r w:rsidRPr="00306998">
        <w:rPr>
          <w:i/>
        </w:rPr>
        <w:t xml:space="preserve"> A Lei das Proporções Constantes</w:t>
      </w:r>
      <w:r w:rsidRPr="00306998">
        <w:t xml:space="preserve"> do capítulo 1 do Livro do Estudante. As duas seções trazem cálculos similares aos do exercício proposto, com explicações detalhadas a respeito do tema. Se julgar necessário, peça </w:t>
      </w:r>
      <w:r w:rsidR="00287A67">
        <w:t>a</w:t>
      </w:r>
      <w:r w:rsidRPr="00306998">
        <w:t xml:space="preserve">os alunos </w:t>
      </w:r>
      <w:r w:rsidR="00287A67">
        <w:t xml:space="preserve">que </w:t>
      </w:r>
      <w:r w:rsidR="00287A67" w:rsidRPr="00306998">
        <w:t>respond</w:t>
      </w:r>
      <w:r w:rsidR="00287A67">
        <w:t>am</w:t>
      </w:r>
      <w:r w:rsidR="00287A67" w:rsidRPr="00306998">
        <w:t xml:space="preserve"> </w:t>
      </w:r>
      <w:r w:rsidRPr="00306998">
        <w:t xml:space="preserve">às questões 22 e 23 da </w:t>
      </w:r>
      <w:proofErr w:type="gramStart"/>
      <w:r w:rsidRPr="00306998">
        <w:t xml:space="preserve">seção </w:t>
      </w:r>
      <w:r w:rsidRPr="00306998">
        <w:rPr>
          <w:i/>
        </w:rPr>
        <w:t>Explore</w:t>
      </w:r>
      <w:proofErr w:type="gramEnd"/>
      <w:r w:rsidRPr="00306998">
        <w:rPr>
          <w:i/>
        </w:rPr>
        <w:t xml:space="preserve"> diferentes linguagens</w:t>
      </w:r>
      <w:r w:rsidRPr="00306998">
        <w:t xml:space="preserve"> do mesmo capítulo.</w:t>
      </w:r>
    </w:p>
    <w:p w14:paraId="41EAF7C3" w14:textId="77777777" w:rsidR="00306998" w:rsidRDefault="00306998" w:rsidP="00427A71">
      <w:pPr>
        <w:pStyle w:val="02TEXTOPRINCIPAL"/>
      </w:pPr>
    </w:p>
    <w:p w14:paraId="2103EE49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6</w:t>
      </w:r>
    </w:p>
    <w:p w14:paraId="2AAF68EF" w14:textId="1A73B9D9" w:rsidR="00306998" w:rsidRPr="00306998" w:rsidRDefault="00306998" w:rsidP="00931BDE">
      <w:pPr>
        <w:pStyle w:val="02TEXTOPRINCIPAL"/>
      </w:pPr>
      <w:r w:rsidRPr="00306998">
        <w:t>a) O etanol (combustível) e o gás oxigênio (comburente).</w:t>
      </w:r>
      <w:r w:rsidRPr="00306998">
        <w:br/>
        <w:t>b) Os alunos podem citar: a queima de uma vela</w:t>
      </w:r>
      <w:r w:rsidR="00287A67">
        <w:t>;</w:t>
      </w:r>
      <w:r w:rsidR="00287A67" w:rsidRPr="00306998">
        <w:t xml:space="preserve"> </w:t>
      </w:r>
      <w:r w:rsidRPr="00306998">
        <w:t>a queima de um palito de fósforo</w:t>
      </w:r>
      <w:r w:rsidR="00287A67">
        <w:t>;</w:t>
      </w:r>
      <w:r w:rsidR="00287A67" w:rsidRPr="00306998">
        <w:t xml:space="preserve"> </w:t>
      </w:r>
      <w:r w:rsidRPr="00306998">
        <w:t>a formação da chama do fogão</w:t>
      </w:r>
      <w:r w:rsidR="00287A67">
        <w:t>,</w:t>
      </w:r>
      <w:r w:rsidRPr="00306998">
        <w:t xml:space="preserve"> a partir da queima do gás de cozinha</w:t>
      </w:r>
      <w:r w:rsidR="00287A67">
        <w:t>;</w:t>
      </w:r>
      <w:r w:rsidR="00287A67" w:rsidRPr="00306998">
        <w:t xml:space="preserve"> </w:t>
      </w:r>
      <w:r w:rsidRPr="00306998">
        <w:t>a queima de outros combustíveis</w:t>
      </w:r>
      <w:r w:rsidR="00287A67">
        <w:t>,</w:t>
      </w:r>
      <w:r w:rsidRPr="00306998">
        <w:t xml:space="preserve"> como a gasolina</w:t>
      </w:r>
      <w:r w:rsidR="00287A67">
        <w:t>;</w:t>
      </w:r>
      <w:r w:rsidR="00287A67" w:rsidRPr="00306998">
        <w:t xml:space="preserve"> </w:t>
      </w:r>
      <w:r w:rsidRPr="00306998">
        <w:t>a formação da chama do lampião pela queima de querosene etc. Alguns desses exemplos são mencionados no Livro do Estudante.</w:t>
      </w:r>
      <w:r w:rsidRPr="00306998">
        <w:br/>
        <w:t>c) O gás carbônico. Ele contribui para o agravamento do efeito estufa</w:t>
      </w:r>
      <w:r w:rsidR="004C4434">
        <w:t>,</w:t>
      </w:r>
      <w:r w:rsidRPr="00306998">
        <w:t xml:space="preserve"> pois absorve parte da radiação infravermelha refletida pela superfície terrestre, impedindo que ela escape para o espaço e aquecendo a superfície da Terra.</w:t>
      </w:r>
    </w:p>
    <w:p w14:paraId="265972AA" w14:textId="77777777" w:rsidR="00306998" w:rsidRPr="00306998" w:rsidRDefault="00306998" w:rsidP="00931BDE">
      <w:pPr>
        <w:pStyle w:val="02TEXTOPRINCIPAL"/>
      </w:pPr>
    </w:p>
    <w:p w14:paraId="34102763" w14:textId="150C706A" w:rsidR="00B27369" w:rsidRPr="00B27369" w:rsidRDefault="00306998" w:rsidP="00931BDE">
      <w:pPr>
        <w:pStyle w:val="02TEXTOPRINCIPAL"/>
      </w:pPr>
      <w:r w:rsidRPr="00306998">
        <w:t xml:space="preserve">Para responder à questão, os alunos devem compreender o conceito de reação química e ser capazes de reconhecer uma reação de combustão identificando os reagentes (combustíveis e comburentes) e os produtos consumidos e formados nesse tipo de reação. Caso apresentem dificuldades, retome a </w:t>
      </w:r>
      <w:proofErr w:type="gramStart"/>
      <w:r w:rsidRPr="00306998">
        <w:t xml:space="preserve">seção </w:t>
      </w:r>
      <w:r w:rsidRPr="00306998">
        <w:rPr>
          <w:i/>
        </w:rPr>
        <w:t>Recordando</w:t>
      </w:r>
      <w:proofErr w:type="gramEnd"/>
      <w:r w:rsidRPr="00306998">
        <w:rPr>
          <w:i/>
        </w:rPr>
        <w:t xml:space="preserve"> o que é reação química </w:t>
      </w:r>
      <w:r w:rsidRPr="00306998">
        <w:t>do capítulo 1 do Livro do Estudante.</w:t>
      </w:r>
    </w:p>
    <w:p w14:paraId="16EF753F" w14:textId="77777777" w:rsidR="00306998" w:rsidRDefault="00306998" w:rsidP="00931BDE">
      <w:pPr>
        <w:pStyle w:val="02TEXTOPRINCIPAL"/>
      </w:pPr>
      <w:r>
        <w:br w:type="page"/>
      </w:r>
    </w:p>
    <w:p w14:paraId="6EAF5B71" w14:textId="77777777" w:rsidR="00122A01" w:rsidRPr="009E45B4" w:rsidRDefault="00122A01" w:rsidP="00427A71">
      <w:pPr>
        <w:pStyle w:val="01TITULO4"/>
      </w:pPr>
      <w:r w:rsidRPr="009E45B4">
        <w:lastRenderedPageBreak/>
        <w:t xml:space="preserve">Questão </w:t>
      </w:r>
      <w:r>
        <w:t>7</w:t>
      </w:r>
    </w:p>
    <w:p w14:paraId="4E171A21" w14:textId="77777777" w:rsidR="00306998" w:rsidRPr="00306998" w:rsidRDefault="00306998" w:rsidP="00306998">
      <w:pPr>
        <w:pStyle w:val="02TEXTOPRINCIPAL"/>
      </w:pPr>
      <w:r w:rsidRPr="00306998">
        <w:t xml:space="preserve">Alternativa correta: </w:t>
      </w:r>
      <w:r w:rsidRPr="00306998">
        <w:rPr>
          <w:b/>
        </w:rPr>
        <w:t>D</w:t>
      </w:r>
      <w:r w:rsidRPr="00306998">
        <w:t xml:space="preserve">. </w:t>
      </w:r>
    </w:p>
    <w:p w14:paraId="1EF82EFC" w14:textId="6752471E" w:rsidR="00B27369" w:rsidRPr="00B27369" w:rsidRDefault="00306998" w:rsidP="00306998">
      <w:pPr>
        <w:pStyle w:val="02TEXTOPRINCIPAL"/>
      </w:pPr>
      <w:r w:rsidRPr="00306998">
        <w:t xml:space="preserve">Cada emissora FM tem sua frequência específica. Quando um ouvinte sintoniza determinada emissora, está na verdade selecionando sua frequência. Caso os alunos tenham alguma dificuldade em responder à questão, retome a seção </w:t>
      </w:r>
      <w:r w:rsidRPr="00306998">
        <w:rPr>
          <w:i/>
        </w:rPr>
        <w:t>Ondas</w:t>
      </w:r>
      <w:r w:rsidRPr="00306998">
        <w:t xml:space="preserve"> e os tópicos </w:t>
      </w:r>
      <w:r w:rsidRPr="00306998">
        <w:rPr>
          <w:i/>
        </w:rPr>
        <w:t xml:space="preserve">Rádio AM </w:t>
      </w:r>
      <w:r w:rsidRPr="00306998">
        <w:t xml:space="preserve">e </w:t>
      </w:r>
      <w:r w:rsidRPr="003C0F8F">
        <w:rPr>
          <w:i/>
        </w:rPr>
        <w:t>Rádio FM e tevê</w:t>
      </w:r>
      <w:r w:rsidRPr="00306998">
        <w:rPr>
          <w:i/>
        </w:rPr>
        <w:t xml:space="preserve"> </w:t>
      </w:r>
      <w:r w:rsidRPr="00306998">
        <w:t xml:space="preserve">da seção </w:t>
      </w:r>
      <w:r w:rsidRPr="00306998">
        <w:rPr>
          <w:i/>
        </w:rPr>
        <w:t xml:space="preserve">Características e aplicações das ondas eletromagnéticas </w:t>
      </w:r>
      <w:r w:rsidRPr="00306998">
        <w:t>do capítulo 3 do Livro do Estudante.</w:t>
      </w:r>
    </w:p>
    <w:p w14:paraId="0E63FB5D" w14:textId="77777777" w:rsidR="00122A01" w:rsidRPr="009E45B4" w:rsidRDefault="00122A01" w:rsidP="00427A71">
      <w:pPr>
        <w:pStyle w:val="02TEXTOPRINCIPAL"/>
      </w:pPr>
    </w:p>
    <w:p w14:paraId="2CAECD64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8</w:t>
      </w:r>
    </w:p>
    <w:p w14:paraId="4AD01AE7" w14:textId="77777777" w:rsidR="00306998" w:rsidRPr="00306998" w:rsidRDefault="00306998" w:rsidP="00931BDE">
      <w:pPr>
        <w:pStyle w:val="02TEXTOPRINCIPAL"/>
      </w:pPr>
      <w:r w:rsidRPr="00306998">
        <w:t xml:space="preserve">Alternativa correta: </w:t>
      </w:r>
      <w:r w:rsidRPr="00306998">
        <w:rPr>
          <w:b/>
        </w:rPr>
        <w:t>C</w:t>
      </w:r>
      <w:r w:rsidRPr="00306998">
        <w:t>.</w:t>
      </w:r>
    </w:p>
    <w:p w14:paraId="2CA4F9A5" w14:textId="4B681B1D" w:rsidR="00306998" w:rsidRPr="00306998" w:rsidRDefault="00306998" w:rsidP="00931BDE">
      <w:pPr>
        <w:pStyle w:val="02TEXTOPRINCIPAL"/>
      </w:pPr>
      <w:r w:rsidRPr="00306998">
        <w:t>Para responder à questão, é necessário que os alunos compreendam que a cor de um objeto resulta da cor da luz que ele é capaz de refletir. Quando a modelo fez o ensaio fotográfico, o macacão, sob a luz branca (policromática), pôde ser visto com a cor vermelha, pois refletiu difusamente a luz dessa cor e absorveu todas as outras luzes. Entretanto, ao receber iluminação monocromática verde, o macacão absorveu a radiação</w:t>
      </w:r>
      <w:r w:rsidR="004C4434">
        <w:t>,</w:t>
      </w:r>
      <w:r w:rsidRPr="00306998">
        <w:t xml:space="preserve"> e o público o percebeu na cor preta.</w:t>
      </w:r>
    </w:p>
    <w:p w14:paraId="2830D41D" w14:textId="2890E8CC" w:rsidR="00395F8C" w:rsidRDefault="00306998" w:rsidP="00931BDE">
      <w:pPr>
        <w:pStyle w:val="02TEXTOPRINCIPAL"/>
      </w:pPr>
      <w:r w:rsidRPr="00306998">
        <w:t xml:space="preserve">Caso os alunos tenham dificuldade para resolver o exercício, conduza uma discussão para sanar as dúvidas </w:t>
      </w:r>
      <w:r w:rsidR="00931BDE">
        <w:br/>
      </w:r>
      <w:r w:rsidRPr="00306998">
        <w:t>e forneça material de apoio, como o texto disponível em: &lt;</w:t>
      </w:r>
      <w:hyperlink r:id="rId8" w:history="1">
        <w:r w:rsidRPr="00456A94">
          <w:rPr>
            <w:rStyle w:val="Hyperlink"/>
          </w:rPr>
          <w:t>https://www.sofisica.com.br/conteudos/Otica/Refracaodaluz/cor_e_frequencia.php</w:t>
        </w:r>
      </w:hyperlink>
      <w:r w:rsidRPr="00306998">
        <w:t xml:space="preserve">&gt; </w:t>
      </w:r>
      <w:r w:rsidR="00931BDE">
        <w:br/>
      </w:r>
      <w:r w:rsidRPr="00306998">
        <w:t>(Acesso</w:t>
      </w:r>
      <w:r w:rsidR="00AF0045">
        <w:t xml:space="preserve"> </w:t>
      </w:r>
      <w:r w:rsidRPr="00306998">
        <w:t xml:space="preserve">em: </w:t>
      </w:r>
      <w:r w:rsidR="00726CF8">
        <w:t>out</w:t>
      </w:r>
      <w:r w:rsidRPr="00306998">
        <w:t>. 2018.)</w:t>
      </w:r>
    </w:p>
    <w:p w14:paraId="03956C06" w14:textId="77777777" w:rsidR="00306998" w:rsidRPr="009E45B4" w:rsidRDefault="00306998" w:rsidP="00306998">
      <w:pPr>
        <w:pStyle w:val="02TEXTOPRINCIPAL"/>
      </w:pPr>
    </w:p>
    <w:p w14:paraId="744636D2" w14:textId="77777777" w:rsidR="00122A01" w:rsidRPr="009E45B4" w:rsidRDefault="00122A01" w:rsidP="00427A71">
      <w:pPr>
        <w:pStyle w:val="01TITULO4"/>
      </w:pPr>
      <w:r w:rsidRPr="009E45B4">
        <w:t xml:space="preserve">Questão </w:t>
      </w:r>
      <w:r>
        <w:t>9</w:t>
      </w:r>
    </w:p>
    <w:p w14:paraId="69FC8C2B" w14:textId="77777777" w:rsidR="00306998" w:rsidRPr="00306998" w:rsidRDefault="00306998" w:rsidP="00931BDE">
      <w:pPr>
        <w:pStyle w:val="02TEXTOPRINCIPAL"/>
      </w:pPr>
      <w:r w:rsidRPr="00306998">
        <w:t xml:space="preserve">Alternativa correta: </w:t>
      </w:r>
      <w:r w:rsidRPr="00306998">
        <w:rPr>
          <w:b/>
        </w:rPr>
        <w:t>A</w:t>
      </w:r>
      <w:r w:rsidRPr="00306998">
        <w:t>.</w:t>
      </w:r>
    </w:p>
    <w:p w14:paraId="59E2C50D" w14:textId="189A2F8E" w:rsidR="00B27369" w:rsidRPr="00B27369" w:rsidRDefault="00306998" w:rsidP="00931BDE">
      <w:pPr>
        <w:pStyle w:val="02TEXTOPRINCIPAL"/>
      </w:pPr>
      <w:r w:rsidRPr="00306998">
        <w:t xml:space="preserve">Espera-se que os alunos reconheçam que os diversos aparelhos eletrônicos funcionam a partir de ondas eletromagnéticas com frequências próximas. Portanto, pode haver interferências se as ondas dos aparelhos eletrônicos dos passageiros forem captadas durante o voo pelos equipamentos de comunicação dos pilotos com a torre de controle. Caso os alunos tenham dificuldade para responder à questão, retome o esquema que mostra o espectro eletromagnético da seção </w:t>
      </w:r>
      <w:r w:rsidRPr="00306998">
        <w:rPr>
          <w:i/>
        </w:rPr>
        <w:t xml:space="preserve">Ondas: mecânicas </w:t>
      </w:r>
      <w:r w:rsidRPr="00306998">
        <w:t>versus</w:t>
      </w:r>
      <w:r w:rsidRPr="00306998">
        <w:rPr>
          <w:i/>
        </w:rPr>
        <w:t xml:space="preserve"> eletromagnéticas</w:t>
      </w:r>
      <w:r w:rsidRPr="00306998">
        <w:t xml:space="preserve"> do capítulo 3 do Livro do Estudante.</w:t>
      </w:r>
    </w:p>
    <w:p w14:paraId="714C5F6F" w14:textId="77777777" w:rsidR="00122A01" w:rsidRDefault="00122A01" w:rsidP="00931BDE">
      <w:pPr>
        <w:pStyle w:val="02TEXTOPRINCIPAL"/>
      </w:pPr>
    </w:p>
    <w:p w14:paraId="19F61D10" w14:textId="526CAE66" w:rsidR="00122A01" w:rsidRPr="009E45B4" w:rsidRDefault="00122A01" w:rsidP="00427A71">
      <w:pPr>
        <w:pStyle w:val="01TITULO4"/>
      </w:pPr>
      <w:r w:rsidRPr="009E45B4">
        <w:t xml:space="preserve">Questão </w:t>
      </w:r>
      <w:r>
        <w:t>10</w:t>
      </w:r>
    </w:p>
    <w:p w14:paraId="57A28C2E" w14:textId="11000177" w:rsidR="00306998" w:rsidRPr="00306998" w:rsidRDefault="00306998" w:rsidP="00931BDE">
      <w:pPr>
        <w:pStyle w:val="02TEXTOPRINCIPAL"/>
      </w:pPr>
      <w:r w:rsidRPr="00306998">
        <w:t>Não. Laura provavelmente confundiu os conceitos de radiação e radioatividade. Os raios X são ondas eletromagnéticas e também um tipo de radiação que pode ser perigoso para a saúde humana em caso de excesso de exposição. No entanto, os raios X não emitem radioatividade, como afirma Laura. O conceito de radioatividade está relacionado à emissão espontânea de radiação pelo núcleo de determinados elementos químicos. Um equipamento de raio X, utilizado em exames radiológicos, emite radiação em forma de raios X, não sendo, portanto, radioativo.</w:t>
      </w:r>
    </w:p>
    <w:p w14:paraId="592A6A93" w14:textId="11E8A305" w:rsidR="00B27369" w:rsidRPr="00B27369" w:rsidRDefault="00306998" w:rsidP="00931BDE">
      <w:pPr>
        <w:pStyle w:val="02TEXTOPRINCIPAL"/>
      </w:pPr>
      <w:r w:rsidRPr="00306998">
        <w:t xml:space="preserve">Caso os alunos tenham dificuldade em responder à questão ou em justificá-la, retome o conteúdo apresentado nos tópicos </w:t>
      </w:r>
      <w:r w:rsidRPr="00306998">
        <w:rPr>
          <w:i/>
        </w:rPr>
        <w:t>Raios X</w:t>
      </w:r>
      <w:r w:rsidRPr="00306998">
        <w:t xml:space="preserve"> e </w:t>
      </w:r>
      <w:r w:rsidRPr="00306998">
        <w:rPr>
          <w:i/>
        </w:rPr>
        <w:t>Raios gama</w:t>
      </w:r>
      <w:r w:rsidRPr="00306998">
        <w:t xml:space="preserve"> da seção </w:t>
      </w:r>
      <w:r w:rsidRPr="00306998">
        <w:rPr>
          <w:i/>
        </w:rPr>
        <w:t xml:space="preserve">Características e aplicações das ondas eletromagnéticas </w:t>
      </w:r>
      <w:r w:rsidRPr="00306998">
        <w:t>do capítulo 3 do Livro do Estudante.</w:t>
      </w:r>
    </w:p>
    <w:p w14:paraId="0133A9ED" w14:textId="256E3B56" w:rsidR="00122A01" w:rsidRDefault="00122A01" w:rsidP="00931BDE">
      <w:pPr>
        <w:pStyle w:val="02TEXTOPRINCIPAL"/>
      </w:pPr>
    </w:p>
    <w:sectPr w:rsidR="00122A01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7C0E26" w14:textId="77777777" w:rsidR="00850085" w:rsidRDefault="00850085">
      <w:r>
        <w:separator/>
      </w:r>
    </w:p>
  </w:endnote>
  <w:endnote w:type="continuationSeparator" w:id="0">
    <w:p w14:paraId="6C542E2F" w14:textId="77777777" w:rsidR="00850085" w:rsidRDefault="00850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4FFA5DA-0EDF-4EA6-836C-458C3AD6D6E2}"/>
    <w:embedBold r:id="rId2" w:fontKey="{AF5D160F-7CC1-45C5-9E22-198951E7BF7E}"/>
    <w:embedItalic r:id="rId3" w:fontKey="{0FFCC3F9-1AE5-4E42-89B6-52E55B23EFC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33C03E6-30FD-490B-93CD-69F09AC6B918}"/>
    <w:embedBold r:id="rId5" w:fontKey="{18FAEC43-BC7E-400F-B038-3FCDE2580BE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D51D281-86AD-4A4F-837E-D1BDDC606E16}"/>
    <w:embedBold r:id="rId7" w:fontKey="{A5064ED5-3845-4E1F-8113-2F30B514A28C}"/>
    <w:embedBoldItalic r:id="rId8" w:fontKey="{81079B99-846E-4135-840A-E7C4BA2FE7F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C0AD1B8-01A4-445B-AC28-18678936812E}"/>
    <w:embedBold r:id="rId10" w:fontKey="{4251D8BB-2CD4-4AC0-A6C7-00CD4AAE570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0276FBC-DB87-491F-8F39-EB9568F2BDC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895F861-A14A-459C-A9B0-6A1F17DDE04C}"/>
    <w:embedBold r:id="rId13" w:fontKey="{8263EF00-3B53-4382-8278-F9303D4A8283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68AD3B2C-D851-477F-9026-F248C8F0986E}"/>
    <w:embedItalic r:id="rId15" w:fontKey="{CEB23B20-EC43-4620-912F-A4B8CDCCA6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0B3EF0F7" w:rsidR="00427A71" w:rsidRPr="005A1C11" w:rsidRDefault="0051496B" w:rsidP="00427A71">
          <w:pPr>
            <w:pStyle w:val="Rodap"/>
            <w:rPr>
              <w:sz w:val="14"/>
              <w:szCs w:val="14"/>
            </w:rPr>
          </w:pPr>
          <w:r w:rsidRPr="0051496B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1496B">
            <w:rPr>
              <w:i/>
              <w:sz w:val="14"/>
              <w:szCs w:val="14"/>
            </w:rPr>
            <w:t>International</w:t>
          </w:r>
          <w:proofErr w:type="spellEnd"/>
          <w:r w:rsidRPr="0051496B">
            <w:rPr>
              <w:sz w:val="14"/>
              <w:szCs w:val="14"/>
            </w:rPr>
            <w:t xml:space="preserve"> (permite a edição ou a criação de obras derivadas sobre a obra</w:t>
          </w:r>
          <w:r w:rsidRPr="0051496B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0C624536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D09B7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38B94" w14:textId="77777777" w:rsidR="00850085" w:rsidRDefault="00850085">
      <w:r>
        <w:rPr>
          <w:color w:val="000000"/>
        </w:rPr>
        <w:separator/>
      </w:r>
    </w:p>
  </w:footnote>
  <w:footnote w:type="continuationSeparator" w:id="0">
    <w:p w14:paraId="491D3B8A" w14:textId="77777777" w:rsidR="00850085" w:rsidRDefault="00850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53A16"/>
    <w:rsid w:val="000628EC"/>
    <w:rsid w:val="00073951"/>
    <w:rsid w:val="00076EF4"/>
    <w:rsid w:val="000A4FED"/>
    <w:rsid w:val="000A7F47"/>
    <w:rsid w:val="000B12E3"/>
    <w:rsid w:val="000C6EC8"/>
    <w:rsid w:val="000E64BD"/>
    <w:rsid w:val="001079E3"/>
    <w:rsid w:val="00122A01"/>
    <w:rsid w:val="00126F41"/>
    <w:rsid w:val="00133AA8"/>
    <w:rsid w:val="00170A30"/>
    <w:rsid w:val="00182B00"/>
    <w:rsid w:val="001B4098"/>
    <w:rsid w:val="001C384B"/>
    <w:rsid w:val="001E5E4C"/>
    <w:rsid w:val="0020182F"/>
    <w:rsid w:val="0020549D"/>
    <w:rsid w:val="002102C1"/>
    <w:rsid w:val="00210B7C"/>
    <w:rsid w:val="00224F08"/>
    <w:rsid w:val="002318C7"/>
    <w:rsid w:val="002415D9"/>
    <w:rsid w:val="00246D52"/>
    <w:rsid w:val="0025600C"/>
    <w:rsid w:val="0026445C"/>
    <w:rsid w:val="00272E42"/>
    <w:rsid w:val="00287A67"/>
    <w:rsid w:val="002B4837"/>
    <w:rsid w:val="002C49D0"/>
    <w:rsid w:val="002C6E52"/>
    <w:rsid w:val="002F294E"/>
    <w:rsid w:val="0030566F"/>
    <w:rsid w:val="00306998"/>
    <w:rsid w:val="00314A40"/>
    <w:rsid w:val="003204D8"/>
    <w:rsid w:val="00355AA8"/>
    <w:rsid w:val="003574A4"/>
    <w:rsid w:val="00383063"/>
    <w:rsid w:val="00395F8C"/>
    <w:rsid w:val="003A0365"/>
    <w:rsid w:val="003A0D1D"/>
    <w:rsid w:val="003C0DC7"/>
    <w:rsid w:val="003C0F8F"/>
    <w:rsid w:val="003C3801"/>
    <w:rsid w:val="003F335D"/>
    <w:rsid w:val="00401C25"/>
    <w:rsid w:val="00426FFF"/>
    <w:rsid w:val="00427A71"/>
    <w:rsid w:val="00445FA8"/>
    <w:rsid w:val="004550D9"/>
    <w:rsid w:val="00456A94"/>
    <w:rsid w:val="0048175E"/>
    <w:rsid w:val="00483741"/>
    <w:rsid w:val="00490446"/>
    <w:rsid w:val="004A44BB"/>
    <w:rsid w:val="004B38FE"/>
    <w:rsid w:val="004B4367"/>
    <w:rsid w:val="004B77C2"/>
    <w:rsid w:val="004C2C31"/>
    <w:rsid w:val="004C4434"/>
    <w:rsid w:val="004D09B7"/>
    <w:rsid w:val="00512110"/>
    <w:rsid w:val="00512EF1"/>
    <w:rsid w:val="0051496B"/>
    <w:rsid w:val="00520505"/>
    <w:rsid w:val="0053145B"/>
    <w:rsid w:val="005858B2"/>
    <w:rsid w:val="005A1AF2"/>
    <w:rsid w:val="005A1CAA"/>
    <w:rsid w:val="005D03F2"/>
    <w:rsid w:val="005E5DA1"/>
    <w:rsid w:val="005F5D46"/>
    <w:rsid w:val="006208F1"/>
    <w:rsid w:val="00644D36"/>
    <w:rsid w:val="00676297"/>
    <w:rsid w:val="00682970"/>
    <w:rsid w:val="006A3F3F"/>
    <w:rsid w:val="006B0A87"/>
    <w:rsid w:val="006C4B1F"/>
    <w:rsid w:val="006D5809"/>
    <w:rsid w:val="006D785B"/>
    <w:rsid w:val="007012DB"/>
    <w:rsid w:val="00726CF8"/>
    <w:rsid w:val="00732238"/>
    <w:rsid w:val="00746A3E"/>
    <w:rsid w:val="007622AB"/>
    <w:rsid w:val="00786191"/>
    <w:rsid w:val="00795832"/>
    <w:rsid w:val="007A0117"/>
    <w:rsid w:val="007A3F45"/>
    <w:rsid w:val="007D0EAB"/>
    <w:rsid w:val="007E5506"/>
    <w:rsid w:val="00802F95"/>
    <w:rsid w:val="00850085"/>
    <w:rsid w:val="00852916"/>
    <w:rsid w:val="00856C39"/>
    <w:rsid w:val="00856D38"/>
    <w:rsid w:val="008A26FC"/>
    <w:rsid w:val="008C2A24"/>
    <w:rsid w:val="008D21BF"/>
    <w:rsid w:val="008E09F8"/>
    <w:rsid w:val="008F5EFC"/>
    <w:rsid w:val="008F7795"/>
    <w:rsid w:val="00905802"/>
    <w:rsid w:val="00912CEC"/>
    <w:rsid w:val="00931BDE"/>
    <w:rsid w:val="00935D6C"/>
    <w:rsid w:val="00963EEE"/>
    <w:rsid w:val="00981857"/>
    <w:rsid w:val="009A49F8"/>
    <w:rsid w:val="009B458A"/>
    <w:rsid w:val="009B7174"/>
    <w:rsid w:val="009C22FB"/>
    <w:rsid w:val="009F7BD8"/>
    <w:rsid w:val="00A24F58"/>
    <w:rsid w:val="00A27B2A"/>
    <w:rsid w:val="00A50211"/>
    <w:rsid w:val="00A74FAE"/>
    <w:rsid w:val="00AA1EB7"/>
    <w:rsid w:val="00AD3F15"/>
    <w:rsid w:val="00AF0045"/>
    <w:rsid w:val="00B22083"/>
    <w:rsid w:val="00B27369"/>
    <w:rsid w:val="00B3283F"/>
    <w:rsid w:val="00B36FBF"/>
    <w:rsid w:val="00B740C0"/>
    <w:rsid w:val="00BC3C42"/>
    <w:rsid w:val="00BD435E"/>
    <w:rsid w:val="00BE0E52"/>
    <w:rsid w:val="00BE346A"/>
    <w:rsid w:val="00BF5B05"/>
    <w:rsid w:val="00C02C4F"/>
    <w:rsid w:val="00C4249F"/>
    <w:rsid w:val="00C45BC8"/>
    <w:rsid w:val="00C56E45"/>
    <w:rsid w:val="00C65D98"/>
    <w:rsid w:val="00C66910"/>
    <w:rsid w:val="00C67490"/>
    <w:rsid w:val="00C737A0"/>
    <w:rsid w:val="00C74DE6"/>
    <w:rsid w:val="00C867EE"/>
    <w:rsid w:val="00CB21D3"/>
    <w:rsid w:val="00CC3157"/>
    <w:rsid w:val="00CC5CBB"/>
    <w:rsid w:val="00CE763E"/>
    <w:rsid w:val="00CF42D1"/>
    <w:rsid w:val="00CF4C4D"/>
    <w:rsid w:val="00D05AA0"/>
    <w:rsid w:val="00D1362C"/>
    <w:rsid w:val="00D21C54"/>
    <w:rsid w:val="00D223CA"/>
    <w:rsid w:val="00D418A3"/>
    <w:rsid w:val="00D537E4"/>
    <w:rsid w:val="00D77B34"/>
    <w:rsid w:val="00D951A2"/>
    <w:rsid w:val="00DA57A8"/>
    <w:rsid w:val="00DB1077"/>
    <w:rsid w:val="00DB196E"/>
    <w:rsid w:val="00DF2BE0"/>
    <w:rsid w:val="00DF73AA"/>
    <w:rsid w:val="00E05E1E"/>
    <w:rsid w:val="00E14CEA"/>
    <w:rsid w:val="00E27094"/>
    <w:rsid w:val="00E3516E"/>
    <w:rsid w:val="00E449E3"/>
    <w:rsid w:val="00E474E3"/>
    <w:rsid w:val="00E90F29"/>
    <w:rsid w:val="00E97485"/>
    <w:rsid w:val="00EC0E1D"/>
    <w:rsid w:val="00ED4C47"/>
    <w:rsid w:val="00F13DA7"/>
    <w:rsid w:val="00F1666E"/>
    <w:rsid w:val="00F53CA6"/>
    <w:rsid w:val="00F56CF2"/>
    <w:rsid w:val="00F662F0"/>
    <w:rsid w:val="00F67318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9A49F8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456A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ofisica.com.br/conteudos/Otica/Refracaodaluz/cor_e_frequencia.ph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uper.abril.com.br/ciencia/como-funcionam-os-adesivos-que-brilham-no-escuro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1269</Words>
  <Characters>6856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4</cp:revision>
  <dcterms:created xsi:type="dcterms:W3CDTF">2018-10-17T17:34:00Z</dcterms:created>
  <dcterms:modified xsi:type="dcterms:W3CDTF">2018-11-05T12:11:00Z</dcterms:modified>
</cp:coreProperties>
</file>