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C0218" w14:textId="77777777" w:rsidR="005362B3" w:rsidRDefault="005362B3" w:rsidP="005362B3">
      <w:pPr>
        <w:pStyle w:val="02TEXTOPRINCIPAL"/>
      </w:pPr>
    </w:p>
    <w:p w14:paraId="60AA0EC2" w14:textId="7627DCBC" w:rsidR="00C10029" w:rsidRDefault="00C10029" w:rsidP="00C10029">
      <w:pPr>
        <w:pStyle w:val="01TITULO3"/>
      </w:pPr>
      <w:r>
        <w:t>Matemática – 9º ano – 3º bimestre</w:t>
      </w:r>
    </w:p>
    <w:p w14:paraId="7705139F" w14:textId="77777777" w:rsidR="00C10029" w:rsidRDefault="00C10029" w:rsidP="00C10029">
      <w:pPr>
        <w:pStyle w:val="02TEXTOPRINCIPAL"/>
      </w:pPr>
    </w:p>
    <w:p w14:paraId="18CEB13A" w14:textId="77777777" w:rsidR="00C10029" w:rsidRDefault="00C10029" w:rsidP="00C10029">
      <w:pPr>
        <w:pStyle w:val="01TITULO4"/>
      </w:pPr>
      <w:r w:rsidRPr="00006692">
        <w:t>Gabarito comentado</w:t>
      </w:r>
    </w:p>
    <w:p w14:paraId="4C71B84A" w14:textId="77777777" w:rsidR="00C10029" w:rsidRDefault="00C10029" w:rsidP="00C10029">
      <w:pPr>
        <w:pStyle w:val="02TEXTOPRINCIPAL"/>
      </w:pPr>
    </w:p>
    <w:p w14:paraId="41B7CDE4" w14:textId="77777777" w:rsidR="00C10029" w:rsidRDefault="00C10029" w:rsidP="00C10029">
      <w:pPr>
        <w:pStyle w:val="01TITULO4"/>
      </w:pPr>
      <w:r>
        <w:t>1</w:t>
      </w:r>
      <w:r w:rsidRPr="00015595">
        <w:t>.</w:t>
      </w:r>
      <w:r w:rsidRPr="001A2C2A">
        <w:t xml:space="preserve"> </w:t>
      </w:r>
      <w:r w:rsidRPr="007F6052">
        <w:rPr>
          <w:sz w:val="24"/>
          <w:szCs w:val="24"/>
        </w:rPr>
        <w:t>alternativa c</w:t>
      </w:r>
    </w:p>
    <w:p w14:paraId="436289F5" w14:textId="77777777" w:rsidR="00C10029" w:rsidRDefault="00C10029" w:rsidP="00C10029">
      <w:pPr>
        <w:pStyle w:val="02TEXTOPRINCIPAL"/>
      </w:pPr>
      <w:r w:rsidRPr="004E40E8">
        <w:t>Caso ocorra erro, verifique se o aluno percebeu que é possível usar o teorema de Pitágoras para calcular a medida</w:t>
      </w:r>
      <w:r>
        <w:t xml:space="preserve"> </w:t>
      </w:r>
      <w:r w:rsidRPr="008D0BC4">
        <w:rPr>
          <w:i/>
        </w:rPr>
        <w:t>x</w:t>
      </w:r>
      <w:r w:rsidRPr="00E31A59">
        <w:t xml:space="preserve">, que corresponde </w:t>
      </w:r>
      <w:r>
        <w:t>à</w:t>
      </w:r>
      <w:r w:rsidRPr="00E31A59">
        <w:t xml:space="preserve"> parte da frente da prateleira</w:t>
      </w:r>
      <w:r w:rsidRPr="004E40E8">
        <w:t xml:space="preserve">. </w:t>
      </w:r>
      <w:r>
        <w:t>Se julgar oportuno, mostre ao aluno que é possível destacar a representação de um triângulo retângulo no esboço feito por Pedro e que, nesse caso,</w:t>
      </w:r>
      <w:r>
        <w:br/>
        <w:t xml:space="preserve">o lado </w:t>
      </w:r>
      <m:oMath>
        <m:r>
          <w:rPr>
            <w:rFonts w:ascii="Cambria Math" w:hAnsi="Cambria Math"/>
          </w:rPr>
          <m:t>x</m:t>
        </m:r>
      </m:oMath>
      <w:r>
        <w:t xml:space="preserve"> corresponde à hipotenusa e as medidas indicadas correspondem aos catetos. Assim, utilizando o teorema de Pitágoras, a medida </w:t>
      </w:r>
      <w:r w:rsidRPr="008D0BC4">
        <w:rPr>
          <w:i/>
        </w:rPr>
        <w:t>x</w:t>
      </w:r>
      <w:r w:rsidRPr="00A210F3">
        <w:t xml:space="preserve"> </w:t>
      </w:r>
      <w:r>
        <w:t xml:space="preserve">é de aproximadamente 25,81 cm. </w:t>
      </w:r>
    </w:p>
    <w:p w14:paraId="36534596" w14:textId="0EBAADC3" w:rsidR="00C10029" w:rsidRPr="00E31A59" w:rsidRDefault="00C10029" w:rsidP="00C10029">
      <w:pPr>
        <w:pStyle w:val="02TEXTOPRINCIPAL"/>
      </w:pPr>
      <w:r>
        <w:t xml:space="preserve">Sem o uso da calculadora, é possível que o aluno conclua corretamente que a medida </w:t>
      </w:r>
      <w:r w:rsidRPr="008D0BC4">
        <w:rPr>
          <w:i/>
        </w:rPr>
        <w:t>x</w:t>
      </w:r>
      <w:r>
        <w:t xml:space="preserve"> tenha 3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74</m:t>
            </m:r>
          </m:e>
        </m:rad>
      </m:oMath>
      <w:r>
        <w:t xml:space="preserve"> cm.</w:t>
      </w:r>
      <w:r>
        <w:br/>
        <w:t>Nesse caso, incentive o aluno a determinar estratégias para avaliar as alternativas considerando o resultado que obteve. Verifique se ele conclui que a raiz quadrada de 74 é um número entre 8 e 9, pois sabe-se</w:t>
      </w:r>
      <w:r w:rsidR="005362B3">
        <w:br/>
      </w:r>
      <w:r>
        <w:t>que</w:t>
      </w:r>
      <w:r w:rsidR="005362B3">
        <w:t xml:space="preserve"> </w:t>
      </w:r>
      <w:r>
        <w:t xml:space="preserve">74 está entre 64 e 81. Portanto, a resposta correta estará entre 24 cm e 27 cm. Analisando as medidas apresentadas nas alternativas, espera-se que o aluno identifique que a única opção que se encaixa no intervalo entre 24 cm e 27 cm está na alternativa </w:t>
      </w:r>
      <w:r w:rsidRPr="00172B1A">
        <w:rPr>
          <w:b/>
        </w:rPr>
        <w:t>c</w:t>
      </w:r>
      <w:r>
        <w:t>.</w:t>
      </w:r>
    </w:p>
    <w:p w14:paraId="33A14D35" w14:textId="77777777" w:rsidR="00C10029" w:rsidRDefault="00C10029" w:rsidP="00C10029">
      <w:pPr>
        <w:pStyle w:val="02TEXTOPRINCIPAL"/>
      </w:pPr>
      <w:r>
        <w:t>Se julgar necessário, retome com o aluno o teorema de Pitágoras.</w:t>
      </w:r>
    </w:p>
    <w:p w14:paraId="4E1BA931" w14:textId="77777777" w:rsidR="00C10029" w:rsidRDefault="00C10029" w:rsidP="00C10029">
      <w:pPr>
        <w:pStyle w:val="02TEXTOPRINCIPAL"/>
      </w:pPr>
    </w:p>
    <w:p w14:paraId="1636ACD2" w14:textId="77777777" w:rsidR="00C10029" w:rsidRDefault="00C10029" w:rsidP="00C10029">
      <w:pPr>
        <w:pStyle w:val="01TITULO4"/>
      </w:pPr>
      <w:r>
        <w:t>2</w:t>
      </w:r>
      <w:r w:rsidRPr="00E82F7A">
        <w:t xml:space="preserve">. </w:t>
      </w:r>
      <w:r w:rsidRPr="007F6052">
        <w:rPr>
          <w:sz w:val="24"/>
          <w:szCs w:val="24"/>
        </w:rPr>
        <w:t>alternativa b</w:t>
      </w:r>
    </w:p>
    <w:p w14:paraId="4A90BCF8" w14:textId="6F722D0B" w:rsidR="00C10029" w:rsidRDefault="00C10029" w:rsidP="00C10029">
      <w:pPr>
        <w:pStyle w:val="02TEXTOPRINCIPAL"/>
      </w:pPr>
      <w:r w:rsidRPr="00D86B18">
        <w:t>Para resolver esse problema, os alunos podem usar diferentes estratégias, como reconhecer que os triângulos</w:t>
      </w:r>
      <w:r w:rsidRPr="00D86B18">
        <w:rPr>
          <w:i/>
        </w:rPr>
        <w:t xml:space="preserve"> ABC </w:t>
      </w:r>
      <w:r w:rsidRPr="00D86B18">
        <w:t xml:space="preserve">e </w:t>
      </w:r>
      <w:r w:rsidRPr="00D86B18">
        <w:rPr>
          <w:i/>
        </w:rPr>
        <w:t xml:space="preserve">AMN </w:t>
      </w:r>
      <w:r w:rsidRPr="00D86B18">
        <w:t>são semelhantes e, a partir disso, calcular a medida</w:t>
      </w:r>
      <w:r w:rsidRPr="005674FC"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D86B18">
        <w:t>, ou</w:t>
      </w:r>
      <w:r>
        <w:t xml:space="preserve"> ainda utilizar o teorema de Tales.</w:t>
      </w:r>
      <w:r>
        <w:br/>
        <w:t>Se julgar oportuno, compartilhe as estratégias apresentadas.</w:t>
      </w:r>
    </w:p>
    <w:p w14:paraId="2DAE5747" w14:textId="77777777" w:rsidR="00C10029" w:rsidRDefault="00C10029" w:rsidP="00C10029">
      <w:pPr>
        <w:pStyle w:val="02TEXTOPRINCIPAL"/>
      </w:pPr>
      <w:r w:rsidRPr="004E40E8">
        <w:t>Caso ocorra erro, verifique se o aluno percebeu que</w:t>
      </w:r>
      <w:r>
        <w:t xml:space="preserve"> é possível utilizar o teorema de Tales para resolver esse problema, pois representando uma reta paralela ao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MN</m:t>
            </m:r>
          </m:e>
        </m:bar>
      </m:oMath>
      <w:r>
        <w:t xml:space="preserve">, que passe pelo ponto </w:t>
      </w:r>
      <w:r w:rsidRPr="00D86B18">
        <w:rPr>
          <w:i/>
        </w:rPr>
        <w:t>A</w:t>
      </w:r>
      <w:r>
        <w:t xml:space="preserve">, obtém-se um feixe de retas paralelas cortadas por retas transversais. Assim, observe se o aluno se recorda de que, nesse caso, </w:t>
      </w:r>
      <w:r w:rsidRPr="00FB638F">
        <w:t>as medidas dos segmentos determinados sobre a primeira transversal</w:t>
      </w:r>
      <w:r>
        <w:t xml:space="preserve"> </w:t>
      </w:r>
      <w:r w:rsidRPr="00FB638F">
        <w:t>são proporcionais às medidas dos segmentos correspondentes determinados</w:t>
      </w:r>
      <w:r>
        <w:t xml:space="preserve"> </w:t>
      </w:r>
      <w:r w:rsidRPr="00FB638F">
        <w:t>sobre a segunda transversal.</w:t>
      </w:r>
      <w:r>
        <w:t xml:space="preserve"> Portanto: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94"/>
      </w:tblGrid>
      <w:tr w:rsidR="00C10029" w14:paraId="69FA4BCF" w14:textId="77777777" w:rsidTr="00B3002E">
        <w:trPr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45708D3" w14:textId="77777777" w:rsidR="00C10029" w:rsidRPr="005362B3" w:rsidRDefault="00850FD1" w:rsidP="00B3002E">
            <w:pPr>
              <w:pStyle w:val="02TEXTOPRINCIPAL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3,75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5,25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10-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+2</m:t>
                    </m:r>
                  </m:den>
                </m:f>
              </m:oMath>
            </m:oMathPara>
          </w:p>
        </w:tc>
      </w:tr>
    </w:tbl>
    <w:p w14:paraId="423B3724" w14:textId="77777777" w:rsidR="00C10029" w:rsidRPr="00D86B18" w:rsidRDefault="00C10029" w:rsidP="00C10029">
      <w:pPr>
        <w:pStyle w:val="02TEXTOPRINCIPAL"/>
      </w:pPr>
      <w:r>
        <w:t>Se o aluno identificar corretamente quais são os segmentos de reta correspondentes, mas não alcançar a resposta esperada, acompanhe a resolução para identificar possíveis equívocos nos cálculos. Se julgar necessário, retome o teorema de Tales.</w:t>
      </w:r>
    </w:p>
    <w:p w14:paraId="74BF2BFA" w14:textId="77777777" w:rsidR="00C10029" w:rsidRPr="00E82F7A" w:rsidRDefault="00C10029" w:rsidP="00C10029">
      <w:pPr>
        <w:pStyle w:val="02TEXTOPRINCIPAL"/>
      </w:pPr>
    </w:p>
    <w:p w14:paraId="65071618" w14:textId="77777777" w:rsidR="00C10029" w:rsidRDefault="00C10029" w:rsidP="00C10029">
      <w:pPr>
        <w:pStyle w:val="01TITULO4"/>
      </w:pPr>
      <w:r>
        <w:t>3</w:t>
      </w:r>
      <w:r w:rsidRPr="00015595">
        <w:t xml:space="preserve">. </w:t>
      </w:r>
      <w:r w:rsidRPr="007F6052">
        <w:rPr>
          <w:sz w:val="24"/>
          <w:szCs w:val="24"/>
        </w:rPr>
        <w:t xml:space="preserve">alternativa </w:t>
      </w:r>
      <w:r>
        <w:rPr>
          <w:sz w:val="24"/>
          <w:szCs w:val="24"/>
        </w:rPr>
        <w:t>c</w:t>
      </w:r>
    </w:p>
    <w:p w14:paraId="5BE795B9" w14:textId="77777777" w:rsidR="00C10029" w:rsidRDefault="00C10029" w:rsidP="00C10029">
      <w:pPr>
        <w:pStyle w:val="02TEXTOPRINCIPAL"/>
      </w:pPr>
      <w:r w:rsidRPr="005E76F7">
        <w:t xml:space="preserve">O aluno pode encontrar a medida </w:t>
      </w:r>
      <m:oMath>
        <m:r>
          <w:rPr>
            <w:rFonts w:ascii="Cambria Math" w:hAnsi="Cambria Math"/>
          </w:rPr>
          <m:t>h</m:t>
        </m:r>
      </m:oMath>
      <w:r w:rsidRPr="005E76F7">
        <w:t xml:space="preserve"> </w:t>
      </w:r>
      <w:r>
        <w:t>com base na</w:t>
      </w:r>
      <w:r w:rsidRPr="005E76F7">
        <w:t xml:space="preserve"> semelhança de triâng</w:t>
      </w:r>
      <w:r>
        <w:t>ulos. Se julgar oportuno, explique-lhe que, de acordo com uma das relações métricas e</w:t>
      </w:r>
      <w:r w:rsidRPr="005E76F7">
        <w:t>m um triângulo retângulo qualquer, o produto das medidas dos catetos é igual ao produto da medida da hipotenusa pela medida da altura relativa à hipotenusa.</w:t>
      </w:r>
      <w:r>
        <w:br/>
        <w:t xml:space="preserve">Assim, espera-se que o aluno conclua que a medida </w:t>
      </w:r>
      <m:oMath>
        <m:r>
          <w:rPr>
            <w:rFonts w:ascii="Cambria Math" w:hAnsi="Cambria Math"/>
          </w:rPr>
          <m:t>h</m:t>
        </m:r>
      </m:oMath>
      <w:r>
        <w:t xml:space="preserve"> é igual a 4,8.</w:t>
      </w:r>
    </w:p>
    <w:p w14:paraId="5E67AF79" w14:textId="77777777" w:rsidR="00C10029" w:rsidRDefault="00C10029" w:rsidP="00C10029">
      <w:pPr>
        <w:pStyle w:val="02TEXTOPRINCIPAL"/>
        <w:rPr>
          <w:rFonts w:ascii="Gotham-Book" w:hAnsi="Gotham-Book" w:cs="Gotham-Book"/>
          <w:color w:val="414142"/>
          <w:sz w:val="20"/>
          <w:szCs w:val="20"/>
        </w:rPr>
      </w:pPr>
      <w:r>
        <w:t xml:space="preserve">Se julgar necessário, retome as </w:t>
      </w:r>
      <w:r w:rsidRPr="005E76F7">
        <w:t xml:space="preserve">relações métricas do triângulo retângulo e </w:t>
      </w:r>
      <w:r>
        <w:t xml:space="preserve">os casos de </w:t>
      </w:r>
      <w:r w:rsidRPr="005E76F7">
        <w:t>semelhança de triângulos</w:t>
      </w:r>
      <w:r>
        <w:rPr>
          <w:rFonts w:ascii="Gotham-Book" w:hAnsi="Gotham-Book" w:cs="Gotham-Book"/>
          <w:color w:val="414142"/>
          <w:sz w:val="20"/>
          <w:szCs w:val="20"/>
        </w:rPr>
        <w:t>.</w:t>
      </w:r>
    </w:p>
    <w:p w14:paraId="4AC3A9EB" w14:textId="77777777" w:rsidR="00C10029" w:rsidRDefault="00C10029" w:rsidP="00C10029">
      <w:pPr>
        <w:rPr>
          <w:rFonts w:eastAsia="Tahoma"/>
        </w:rPr>
      </w:pPr>
      <w:r>
        <w:br w:type="page"/>
      </w:r>
    </w:p>
    <w:p w14:paraId="4F5A8AF7" w14:textId="77777777" w:rsidR="00C10029" w:rsidRDefault="00C10029" w:rsidP="00C10029">
      <w:pPr>
        <w:pStyle w:val="02TEXTOPRINCIPAL"/>
      </w:pPr>
    </w:p>
    <w:p w14:paraId="5F920377" w14:textId="77777777" w:rsidR="00C10029" w:rsidRPr="00A93F95" w:rsidRDefault="00C10029" w:rsidP="00C10029">
      <w:pPr>
        <w:pStyle w:val="01TITULO4"/>
      </w:pPr>
      <w:r>
        <w:t>4</w:t>
      </w:r>
      <w:r w:rsidRPr="00A93F95">
        <w:t xml:space="preserve">. </w:t>
      </w:r>
      <w:r w:rsidRPr="007F6052">
        <w:rPr>
          <w:i/>
          <w:sz w:val="24"/>
          <w:szCs w:val="24"/>
        </w:rPr>
        <w:t>x</w:t>
      </w:r>
      <w:r w:rsidRPr="007F6052">
        <w:rPr>
          <w:sz w:val="24"/>
          <w:szCs w:val="24"/>
        </w:rPr>
        <w:t xml:space="preserve"> </w:t>
      </w:r>
      <w:r>
        <w:rPr>
          <w:rFonts w:ascii="Cambria Math" w:hAnsi="Cambria Math" w:cs="Arial"/>
          <w:sz w:val="24"/>
          <w:szCs w:val="24"/>
        </w:rPr>
        <w:t xml:space="preserve">= </w:t>
      </w:r>
      <w:r w:rsidRPr="007F6052">
        <w:rPr>
          <w:sz w:val="24"/>
          <w:szCs w:val="24"/>
        </w:rPr>
        <w:t xml:space="preserve">1,8; </w:t>
      </w:r>
      <w:r w:rsidRPr="007F6052">
        <w:rPr>
          <w:i/>
          <w:sz w:val="24"/>
          <w:szCs w:val="24"/>
        </w:rPr>
        <w:t>y</w:t>
      </w:r>
      <w:r w:rsidRPr="007F6052">
        <w:rPr>
          <w:sz w:val="24"/>
          <w:szCs w:val="24"/>
        </w:rPr>
        <w:t xml:space="preserve"> </w:t>
      </w:r>
      <w:r>
        <w:rPr>
          <w:rFonts w:ascii="Cambria Math" w:hAnsi="Cambria Math" w:cs="Arial"/>
          <w:sz w:val="24"/>
          <w:szCs w:val="24"/>
        </w:rPr>
        <w:t xml:space="preserve">= </w:t>
      </w:r>
      <w:r w:rsidRPr="007F6052">
        <w:rPr>
          <w:sz w:val="24"/>
          <w:szCs w:val="24"/>
        </w:rPr>
        <w:t>3,2</w:t>
      </w:r>
    </w:p>
    <w:p w14:paraId="7F9BCEFB" w14:textId="77777777" w:rsidR="00C10029" w:rsidRPr="00A93F95" w:rsidRDefault="00C10029" w:rsidP="00C10029">
      <w:pPr>
        <w:pStyle w:val="02TEXTOPRINCIPAL"/>
      </w:pPr>
      <w:r w:rsidRPr="00A93F95">
        <w:t>Os alunos podem utilizar diferentes estratégias para resolver esse problema. Se julgar oportuno, compartilhe as estratégias apresentadas.</w:t>
      </w:r>
    </w:p>
    <w:p w14:paraId="176082D3" w14:textId="77777777" w:rsidR="00C10029" w:rsidRPr="00A93F95" w:rsidRDefault="00C10029" w:rsidP="00C10029">
      <w:pPr>
        <w:pStyle w:val="02TEXTOPRINCIPAL"/>
      </w:pPr>
      <w:r w:rsidRPr="00A93F95">
        <w:t xml:space="preserve">Caso ocorra erro, verifique se o aluno percebeu que </w:t>
      </w:r>
      <w:r w:rsidRPr="00A93F95">
        <w:rPr>
          <w:i/>
        </w:rPr>
        <w:t>x</w:t>
      </w:r>
      <w:r w:rsidRPr="00A93F95">
        <w:t xml:space="preserve"> e </w:t>
      </w:r>
      <w:r w:rsidRPr="00A93F95">
        <w:rPr>
          <w:i/>
        </w:rPr>
        <w:t>y</w:t>
      </w:r>
      <w:r w:rsidRPr="00A93F95">
        <w:t xml:space="preserve"> juntos correspondem </w:t>
      </w:r>
      <w:r>
        <w:t>à</w:t>
      </w:r>
      <w:r w:rsidRPr="00A93F95">
        <w:t xml:space="preserve"> hipotenusa do triângulo </w:t>
      </w:r>
      <w:r w:rsidRPr="00A93F95">
        <w:rPr>
          <w:i/>
        </w:rPr>
        <w:t>ABC</w:t>
      </w:r>
      <w:r w:rsidRPr="00A93F95">
        <w:t xml:space="preserve">. </w:t>
      </w:r>
      <w:r>
        <w:t>A</w:t>
      </w:r>
      <w:r w:rsidRPr="00A93F95">
        <w:t>ssim, utilizando o teorema de Pitágoras</w:t>
      </w:r>
      <w:r>
        <w:t>,</w:t>
      </w:r>
      <w:r w:rsidRPr="00A93F95">
        <w:t xml:space="preserve"> é possível descobrir a soma de seus valores, uma vez que as medidas dos catetos são apresentadas na figura. Portanto:</w:t>
      </w:r>
    </w:p>
    <w:p w14:paraId="6C879411" w14:textId="77777777" w:rsidR="00C10029" w:rsidRPr="00A93F95" w:rsidRDefault="00C10029" w:rsidP="00C10029">
      <w:pPr>
        <w:pStyle w:val="02TEXTOPRINCIPAL"/>
      </w:pPr>
      <w:r w:rsidRPr="00A93F95">
        <w:t>(</w:t>
      </w:r>
      <w:r w:rsidRPr="00A93F95">
        <w:rPr>
          <w:i/>
        </w:rPr>
        <w:t>x</w:t>
      </w:r>
      <w:r w:rsidRPr="00A93F95">
        <w:t xml:space="preserve"> + </w:t>
      </w:r>
      <w:r w:rsidRPr="00A93F95">
        <w:rPr>
          <w:i/>
        </w:rPr>
        <w:t>y</w:t>
      </w:r>
      <w:r w:rsidRPr="00A93F95">
        <w:t>)</w:t>
      </w:r>
      <w:r w:rsidRPr="00A93F95">
        <w:rPr>
          <w:vertAlign w:val="superscript"/>
        </w:rPr>
        <w:t>2</w:t>
      </w:r>
      <w:r w:rsidRPr="00A93F95">
        <w:t xml:space="preserve"> = 3</w:t>
      </w:r>
      <w:r w:rsidRPr="00A93F95">
        <w:rPr>
          <w:vertAlign w:val="superscript"/>
        </w:rPr>
        <w:t>2</w:t>
      </w:r>
      <w:r w:rsidRPr="00A93F95">
        <w:t xml:space="preserve"> + 4</w:t>
      </w:r>
      <w:r w:rsidRPr="00A93F95">
        <w:rPr>
          <w:vertAlign w:val="superscript"/>
        </w:rPr>
        <w:t>2</w:t>
      </w:r>
      <w:r w:rsidRPr="00A93F95">
        <w:t xml:space="preserve"> </w:t>
      </w:r>
      <w:r w:rsidRPr="00A93F95">
        <w:rPr>
          <w:rFonts w:ascii="Cambria Math" w:hAnsi="Cambria Math" w:cs="Cambria Math"/>
        </w:rPr>
        <w:t>⇒</w:t>
      </w:r>
      <w:r w:rsidRPr="00A93F95">
        <w:t xml:space="preserve"> (</w:t>
      </w:r>
      <w:r w:rsidRPr="00A93F95">
        <w:rPr>
          <w:i/>
        </w:rPr>
        <w:t>x</w:t>
      </w:r>
      <w:r w:rsidRPr="00A93F95">
        <w:t xml:space="preserve"> + </w:t>
      </w:r>
      <w:r w:rsidRPr="00A93F95">
        <w:rPr>
          <w:i/>
        </w:rPr>
        <w:t>y</w:t>
      </w:r>
      <w:r w:rsidRPr="00A93F95">
        <w:t>)</w:t>
      </w:r>
      <w:r w:rsidRPr="00A93F95">
        <w:rPr>
          <w:vertAlign w:val="superscript"/>
        </w:rPr>
        <w:t>2</w:t>
      </w:r>
      <w:r w:rsidRPr="00A93F95">
        <w:t xml:space="preserve"> = 9 + 16 </w:t>
      </w:r>
      <w:r w:rsidRPr="00A93F95">
        <w:rPr>
          <w:rFonts w:ascii="Cambria Math" w:hAnsi="Cambria Math" w:cs="Cambria Math"/>
        </w:rPr>
        <w:t>⇒</w:t>
      </w:r>
      <w:r w:rsidRPr="00A93F95">
        <w:t xml:space="preserve"> (</w:t>
      </w:r>
      <w:r w:rsidRPr="00A93F95">
        <w:rPr>
          <w:i/>
        </w:rPr>
        <w:t>x</w:t>
      </w:r>
      <w:r w:rsidRPr="00A93F95">
        <w:t xml:space="preserve"> + </w:t>
      </w:r>
      <w:r w:rsidRPr="00A93F95">
        <w:rPr>
          <w:i/>
        </w:rPr>
        <w:t>y</w:t>
      </w:r>
      <w:r w:rsidRPr="00A93F95">
        <w:t>)</w:t>
      </w:r>
      <w:r w:rsidRPr="00A93F95">
        <w:rPr>
          <w:vertAlign w:val="superscript"/>
        </w:rPr>
        <w:t>2</w:t>
      </w:r>
      <w:r w:rsidRPr="00A93F95">
        <w:t xml:space="preserve"> = 25 </w:t>
      </w:r>
      <w:r w:rsidRPr="00A93F95">
        <w:rPr>
          <w:rFonts w:ascii="Cambria Math" w:hAnsi="Cambria Math" w:cs="Cambria Math"/>
        </w:rPr>
        <w:t>⇒</w:t>
      </w:r>
      <w:r w:rsidRPr="00A93F95">
        <w:t xml:space="preserve"> </w:t>
      </w:r>
      <w:r w:rsidRPr="00A93F95">
        <w:rPr>
          <w:i/>
        </w:rPr>
        <w:t>x</w:t>
      </w:r>
      <w:r w:rsidRPr="00A93F95">
        <w:t xml:space="preserve"> + </w:t>
      </w:r>
      <w:r w:rsidRPr="00A93F95">
        <w:rPr>
          <w:i/>
        </w:rPr>
        <w:t>y</w:t>
      </w:r>
      <w:r w:rsidRPr="00A93F95">
        <w:t xml:space="preserve"> = 5</w:t>
      </w:r>
    </w:p>
    <w:p w14:paraId="284851F4" w14:textId="77777777" w:rsidR="00C10029" w:rsidRDefault="00C10029" w:rsidP="00C10029">
      <w:pPr>
        <w:pStyle w:val="02TEXTOPRINCIPAL"/>
      </w:pPr>
      <w:r w:rsidRPr="00A93F95">
        <w:t xml:space="preserve">Depois, observe se o aluno utiliza a semelhança de triângulos para calcular os valores de </w:t>
      </w:r>
      <w:r w:rsidRPr="00A93F95">
        <w:rPr>
          <w:i/>
        </w:rPr>
        <w:t>x</w:t>
      </w:r>
      <w:r w:rsidRPr="00A93F95">
        <w:t xml:space="preserve"> e </w:t>
      </w:r>
      <w:r w:rsidRPr="00A93F95">
        <w:rPr>
          <w:i/>
        </w:rPr>
        <w:t>y</w:t>
      </w:r>
      <w:r w:rsidRPr="00A93F95">
        <w:t xml:space="preserve"> separadamente. Caso o aluno tenha reconhecido as estratégias que podem ser utilizadas, mas não obtenha a resposta esperada, acompanhe a resolução para identificar possíveis equívocos nos cálculos.</w:t>
      </w:r>
    </w:p>
    <w:p w14:paraId="797CC831" w14:textId="77777777" w:rsidR="00C10029" w:rsidRDefault="00C10029" w:rsidP="00C10029">
      <w:pPr>
        <w:pStyle w:val="02TEXTOPRINCIPAL"/>
      </w:pPr>
      <w:r w:rsidRPr="00A93F95">
        <w:t xml:space="preserve">Se julgar necessário, retome </w:t>
      </w:r>
      <w:r>
        <w:t>as</w:t>
      </w:r>
      <w:r w:rsidRPr="00A93F95">
        <w:t xml:space="preserve"> relações métricas do triângulo retângulo e </w:t>
      </w:r>
      <w:r>
        <w:t xml:space="preserve">os casos de </w:t>
      </w:r>
      <w:r w:rsidRPr="00A93F95">
        <w:t>semelhança de triângulos.</w:t>
      </w:r>
    </w:p>
    <w:p w14:paraId="4318F5BD" w14:textId="77777777" w:rsidR="00C10029" w:rsidRPr="00A93F95" w:rsidRDefault="00C10029" w:rsidP="00C10029">
      <w:pPr>
        <w:pStyle w:val="02TEXTOPRINCIPAL"/>
      </w:pPr>
    </w:p>
    <w:p w14:paraId="2F9829E7" w14:textId="77777777" w:rsidR="00C10029" w:rsidRDefault="00C10029" w:rsidP="00C10029">
      <w:pPr>
        <w:pStyle w:val="01TITULO4"/>
      </w:pPr>
      <w:r>
        <w:t>5</w:t>
      </w:r>
      <w:r w:rsidRPr="00A93F95">
        <w:t>.</w:t>
      </w:r>
      <w:r>
        <w:rPr>
          <w:rFonts w:eastAsia="Times New Roman"/>
          <w:sz w:val="22"/>
          <w:szCs w:val="22"/>
        </w:rPr>
        <w:t xml:space="preserve"> </w:t>
      </w:r>
      <w:r w:rsidRPr="00E174DB">
        <w:rPr>
          <w:sz w:val="24"/>
          <w:szCs w:val="24"/>
        </w:rPr>
        <w:t>alternativa c</w:t>
      </w:r>
    </w:p>
    <w:p w14:paraId="7B8C5F60" w14:textId="3B66BD1F" w:rsidR="00C10029" w:rsidRPr="00890279" w:rsidRDefault="00C10029" w:rsidP="00C10029">
      <w:pPr>
        <w:pStyle w:val="02TEXTOPRINCIPAL"/>
        <w:rPr>
          <w:rFonts w:eastAsia="Times New Roman"/>
          <w:sz w:val="22"/>
          <w:szCs w:val="22"/>
        </w:rPr>
      </w:pPr>
      <w:r w:rsidRPr="00890279">
        <w:t xml:space="preserve">Caso ocorra erro, verifique se o aluno reconhece que o ponto médio divide </w:t>
      </w:r>
      <w:r>
        <w:t>um</w:t>
      </w:r>
      <w:r w:rsidRPr="00890279">
        <w:t xml:space="preserve"> segmento</w:t>
      </w:r>
      <w:r>
        <w:t xml:space="preserve"> em duas partes de medidas iguais. Portanto, a base do triângulo </w:t>
      </w:r>
      <w:r w:rsidRPr="00890279">
        <w:rPr>
          <w:i/>
        </w:rPr>
        <w:t>ADC</w:t>
      </w:r>
      <w:r>
        <w:t xml:space="preserve"> mede 2,55 unidades. Observe se o aluno percebe que pode calcular a altura do triângulo </w:t>
      </w:r>
      <w:r w:rsidRPr="00730E3D">
        <w:rPr>
          <w:i/>
        </w:rPr>
        <w:t>ADC</w:t>
      </w:r>
      <w:r>
        <w:t xml:space="preserve"> utilizando as coordenadas dos pontos </w:t>
      </w:r>
      <w:r w:rsidRPr="00730E3D">
        <w:rPr>
          <w:i/>
        </w:rPr>
        <w:t>C</w:t>
      </w:r>
      <w:r>
        <w:t xml:space="preserve"> e </w:t>
      </w:r>
      <w:r w:rsidRPr="00730E3D">
        <w:rPr>
          <w:i/>
        </w:rPr>
        <w:t>D</w:t>
      </w:r>
      <w:r>
        <w:t xml:space="preserve"> e, desse modo,</w:t>
      </w:r>
      <w:r>
        <w:br/>
        <w:t xml:space="preserve">conclui que a altura do triângulo </w:t>
      </w:r>
      <w:r w:rsidRPr="00730E3D">
        <w:rPr>
          <w:i/>
        </w:rPr>
        <w:t>ADC</w:t>
      </w:r>
      <w:r>
        <w:t xml:space="preserve"> é de 4 unidades. Caso o aluno tenha identificado corretamente as medidas, mas tenha assinalado uma das alternativas incorretas, é possível que tenha cometido equívocos ao calcular a área do triângulo. Nesse caso, retome o cálculo da área de triângulos.</w:t>
      </w:r>
    </w:p>
    <w:p w14:paraId="5333EB9F" w14:textId="77777777" w:rsidR="00C10029" w:rsidRDefault="00C10029" w:rsidP="00C10029">
      <w:pPr>
        <w:pStyle w:val="02TEXTOPRINCIPAL"/>
      </w:pPr>
    </w:p>
    <w:p w14:paraId="09E31572" w14:textId="77777777" w:rsidR="00C10029" w:rsidRPr="00A93F95" w:rsidRDefault="00C10029" w:rsidP="00C10029">
      <w:pPr>
        <w:pStyle w:val="01TITULO4"/>
      </w:pPr>
      <w:r>
        <w:t>6</w:t>
      </w:r>
      <w:r w:rsidRPr="00A93F95">
        <w:t xml:space="preserve">. a) </w:t>
      </w:r>
      <w:r w:rsidRPr="007F6052">
        <w:rPr>
          <w:i/>
          <w:sz w:val="24"/>
          <w:szCs w:val="24"/>
        </w:rPr>
        <w:t>A</w:t>
      </w:r>
      <w:r w:rsidRPr="007F6052">
        <w:rPr>
          <w:sz w:val="24"/>
          <w:szCs w:val="24"/>
        </w:rPr>
        <w:t xml:space="preserve"> = (1, 3); </w:t>
      </w:r>
      <w:r w:rsidRPr="007F6052">
        <w:rPr>
          <w:i/>
          <w:sz w:val="24"/>
          <w:szCs w:val="24"/>
        </w:rPr>
        <w:t>B</w:t>
      </w:r>
      <w:r w:rsidRPr="007F6052">
        <w:rPr>
          <w:sz w:val="24"/>
          <w:szCs w:val="24"/>
        </w:rPr>
        <w:t xml:space="preserve"> = (5, 6) e </w:t>
      </w:r>
      <w:r w:rsidRPr="007F6052">
        <w:rPr>
          <w:i/>
          <w:sz w:val="24"/>
          <w:szCs w:val="24"/>
        </w:rPr>
        <w:t>C</w:t>
      </w:r>
      <w:r w:rsidRPr="007F6052">
        <w:rPr>
          <w:sz w:val="24"/>
          <w:szCs w:val="24"/>
        </w:rPr>
        <w:t xml:space="preserve"> = (5, 0)</w:t>
      </w:r>
    </w:p>
    <w:p w14:paraId="67BA725B" w14:textId="77777777" w:rsidR="00C10029" w:rsidRDefault="00C10029" w:rsidP="00C10029">
      <w:pPr>
        <w:pStyle w:val="01TITULO4"/>
      </w:pPr>
      <w:r w:rsidRPr="00A93F95">
        <w:t>b)</w:t>
      </w:r>
    </w:p>
    <w:p w14:paraId="76C1F2E2" w14:textId="77777777" w:rsidR="00C10029" w:rsidRDefault="00C10029" w:rsidP="00C10029">
      <w:pPr>
        <w:pStyle w:val="02TEXTOPRINCIPAL"/>
      </w:pPr>
    </w:p>
    <w:p w14:paraId="098FC28A" w14:textId="77777777" w:rsidR="00C10029" w:rsidRDefault="00C10029" w:rsidP="00C10029">
      <w:pPr>
        <w:pStyle w:val="02TEXTOPRINCIPAL"/>
      </w:pPr>
      <w:bookmarkStart w:id="0" w:name="_Hlk524777154"/>
      <w:r w:rsidRPr="005E0DE9">
        <w:rPr>
          <w:noProof/>
          <w:lang w:eastAsia="pt-BR" w:bidi="ar-SA"/>
        </w:rPr>
        <w:drawing>
          <wp:inline distT="0" distB="0" distL="0" distR="0" wp14:anchorId="3650DF78" wp14:editId="5799DB94">
            <wp:extent cx="2127504" cy="1834896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9_g_AM9_MD_LT3_3bim_AA3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D41D" w14:textId="77777777" w:rsidR="00C10029" w:rsidRDefault="00C10029" w:rsidP="00C10029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br w:type="page"/>
      </w:r>
    </w:p>
    <w:p w14:paraId="4BA44E47" w14:textId="77777777" w:rsidR="00C10029" w:rsidRPr="00E174DB" w:rsidRDefault="00C10029" w:rsidP="00C10029">
      <w:pPr>
        <w:pStyle w:val="02TEXTOPRINCIPAL"/>
      </w:pPr>
    </w:p>
    <w:bookmarkEnd w:id="0"/>
    <w:p w14:paraId="795BC970" w14:textId="77777777" w:rsidR="00C10029" w:rsidRDefault="00C10029" w:rsidP="00C10029">
      <w:pPr>
        <w:pStyle w:val="01TITULO4"/>
      </w:pPr>
      <w:r w:rsidRPr="00A93F95">
        <w:t xml:space="preserve">c) </w:t>
      </w:r>
      <w:r w:rsidRPr="007F6052">
        <w:rPr>
          <w:sz w:val="24"/>
          <w:szCs w:val="24"/>
        </w:rPr>
        <w:t>A área da figura é igual a 3 unidades de área.</w:t>
      </w:r>
    </w:p>
    <w:p w14:paraId="514BD11C" w14:textId="77777777" w:rsidR="00C10029" w:rsidRPr="005E0DE9" w:rsidRDefault="00C10029" w:rsidP="00C10029">
      <w:pPr>
        <w:pStyle w:val="02TEXTOPRINCIPAL"/>
      </w:pPr>
      <w:bookmarkStart w:id="1" w:name="_Hlk524777174"/>
    </w:p>
    <w:p w14:paraId="64A21016" w14:textId="77777777" w:rsidR="00C10029" w:rsidRDefault="00C10029" w:rsidP="00C10029">
      <w:pPr>
        <w:pStyle w:val="02TEXTOPRINCIPAL"/>
      </w:pPr>
      <w:r w:rsidRPr="005E0DE9">
        <w:rPr>
          <w:noProof/>
          <w:lang w:eastAsia="pt-BR" w:bidi="ar-SA"/>
        </w:rPr>
        <w:drawing>
          <wp:inline distT="0" distB="0" distL="0" distR="0" wp14:anchorId="4489A690" wp14:editId="6FC7CE6E">
            <wp:extent cx="2164080" cy="1834896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0_g_AM9_MD_LT3_3bim_AA3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85011EE" w14:textId="77777777" w:rsidR="00C10029" w:rsidRDefault="00C10029" w:rsidP="00C10029">
      <w:pPr>
        <w:pStyle w:val="02TEXTOPRINCIPAL"/>
      </w:pPr>
    </w:p>
    <w:p w14:paraId="72CCAD8D" w14:textId="77777777" w:rsidR="00C10029" w:rsidRPr="00FB1723" w:rsidRDefault="00C10029" w:rsidP="00C10029">
      <w:pPr>
        <w:pStyle w:val="02TEXTOPRINCIPAL"/>
      </w:pPr>
      <w:r w:rsidRPr="00FB1723">
        <w:t>Considere aproximadamente 33% do valor da questão para cada item.</w:t>
      </w:r>
    </w:p>
    <w:p w14:paraId="312AEF1D" w14:textId="77777777" w:rsidR="00C10029" w:rsidRPr="00FB1723" w:rsidRDefault="00C10029" w:rsidP="00C10029">
      <w:pPr>
        <w:pStyle w:val="02TEXTOPRINCIPAL"/>
      </w:pPr>
      <w:r w:rsidRPr="00FB1723">
        <w:t>Caso ocorra erro no item</w:t>
      </w:r>
      <w:r>
        <w:t xml:space="preserve"> </w:t>
      </w:r>
      <w:r w:rsidRPr="00FB1723">
        <w:rPr>
          <w:b/>
          <w:bCs/>
        </w:rPr>
        <w:t>a</w:t>
      </w:r>
      <w:r w:rsidRPr="00FB1723">
        <w:t>, retome com o aluno o estudo sobre o plano cartesiano identificando seus eixos e a ordem em que eles devem ser indicados em um par ordenado.</w:t>
      </w:r>
    </w:p>
    <w:p w14:paraId="5723ECCC" w14:textId="77777777" w:rsidR="00C10029" w:rsidRPr="00FB1723" w:rsidRDefault="00C10029" w:rsidP="00C10029">
      <w:pPr>
        <w:pStyle w:val="02TEXTOPRINCIPAL"/>
      </w:pPr>
      <w:r w:rsidRPr="00FB1723">
        <w:t>No item</w:t>
      </w:r>
      <w:r>
        <w:t xml:space="preserve"> </w:t>
      </w:r>
      <w:r w:rsidRPr="00FB1723">
        <w:rPr>
          <w:b/>
          <w:bCs/>
        </w:rPr>
        <w:t>b</w:t>
      </w:r>
      <w:r w:rsidRPr="00FB1723">
        <w:t>, verifique se</w:t>
      </w:r>
      <w:r>
        <w:t>,</w:t>
      </w:r>
      <w:r w:rsidRPr="00FB1723">
        <w:t xml:space="preserve"> a cada par de pontos</w:t>
      </w:r>
      <w:r>
        <w:t>,</w:t>
      </w:r>
      <w:r w:rsidRPr="00FB1723">
        <w:t xml:space="preserve"> o aluno calculou a média aritmética de suas coordenad</w:t>
      </w:r>
      <w:r>
        <w:t>a</w:t>
      </w:r>
      <w:r w:rsidRPr="00FB1723">
        <w:t xml:space="preserve">s para identificar a localização do ponto médio. É possível que </w:t>
      </w:r>
      <w:r>
        <w:t xml:space="preserve">ele </w:t>
      </w:r>
      <w:r w:rsidRPr="00FB1723">
        <w:t>tenha dificuldade em localizar a posição dos pontos médios quando uma das coordena</w:t>
      </w:r>
      <w:r>
        <w:t>da</w:t>
      </w:r>
      <w:r w:rsidRPr="00FB1723">
        <w:t xml:space="preserve">s não </w:t>
      </w:r>
      <w:r>
        <w:t>for</w:t>
      </w:r>
      <w:r w:rsidRPr="00FB1723">
        <w:t xml:space="preserve"> um número inteiro. Nesse caso, ressalte que o ponto médio está sobre o segmento que une um ponto ao outro, portanto, é possível traçar esse segmento para servir de suporte.</w:t>
      </w:r>
    </w:p>
    <w:p w14:paraId="18402FF8" w14:textId="77777777" w:rsidR="00C10029" w:rsidRDefault="00C10029" w:rsidP="00C10029">
      <w:pPr>
        <w:pStyle w:val="02TEXTOPRINCIPAL"/>
      </w:pPr>
      <w:r>
        <w:t xml:space="preserve">No item </w:t>
      </w:r>
      <w:r w:rsidRPr="0048277C">
        <w:rPr>
          <w:b/>
        </w:rPr>
        <w:t>c</w:t>
      </w:r>
      <w:r>
        <w:t>, e</w:t>
      </w:r>
      <w:r w:rsidRPr="00FB1723">
        <w:t>spera-se que o aluno represente um triângulo e</w:t>
      </w:r>
      <w:r>
        <w:t xml:space="preserve"> utilize as coordenadas dos seus vértices para calcular a medida da base e da altura e, depois, calcule a área do triângulo.</w:t>
      </w:r>
    </w:p>
    <w:p w14:paraId="717CF91C" w14:textId="77777777" w:rsidR="00C10029" w:rsidRPr="0048277C" w:rsidRDefault="00C10029" w:rsidP="00C10029">
      <w:pPr>
        <w:pStyle w:val="02TEXTOPRINCIPAL"/>
      </w:pPr>
      <w:r w:rsidRPr="0048277C">
        <w:t>Se julgar necessário, retome como determinar o ponto médio de um segmento de reta e a distância entre dois pontos quaisquer, dadas as coordenadas desses pontos no plano cartesiano</w:t>
      </w:r>
      <w:r>
        <w:t>,</w:t>
      </w:r>
      <w:r w:rsidRPr="0048277C">
        <w:t xml:space="preserve"> e como utilizar esse conhecimento para calcular a áreas de </w:t>
      </w:r>
      <w:r>
        <w:t>figuras p</w:t>
      </w:r>
      <w:r w:rsidRPr="0048277C">
        <w:t>lanas construídas no plano.</w:t>
      </w:r>
    </w:p>
    <w:p w14:paraId="626D93F7" w14:textId="77777777" w:rsidR="00C10029" w:rsidRPr="00A93F95" w:rsidRDefault="00C10029" w:rsidP="00C10029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sz w:val="22"/>
          <w:szCs w:val="22"/>
        </w:rPr>
      </w:pPr>
    </w:p>
    <w:p w14:paraId="20D2610B" w14:textId="77777777" w:rsidR="00C10029" w:rsidRDefault="00C10029" w:rsidP="00C10029">
      <w:pPr>
        <w:pStyle w:val="01TITULO4"/>
      </w:pPr>
      <w:r>
        <w:t xml:space="preserve">7. </w:t>
      </w:r>
      <w:r w:rsidRPr="007F6052">
        <w:rPr>
          <w:sz w:val="24"/>
          <w:szCs w:val="24"/>
        </w:rPr>
        <w:t>alternativa d</w:t>
      </w:r>
    </w:p>
    <w:p w14:paraId="41E1B591" w14:textId="77777777" w:rsidR="00C10029" w:rsidRDefault="00C10029" w:rsidP="00C10029">
      <w:pPr>
        <w:pStyle w:val="02TEXTOPRINCIPAL"/>
      </w:pPr>
      <w:r>
        <w:t>Caso ocorra erro, verifique se o aluno compreendeu a adivinha de Marcela e conseguiu chegar à equação polinomial de 2</w:t>
      </w:r>
      <w:r w:rsidRPr="00A7245F">
        <w:rPr>
          <w:u w:val="single"/>
          <w:vertAlign w:val="superscript"/>
        </w:rPr>
        <w:t>o</w:t>
      </w:r>
      <w:r>
        <w:t xml:space="preserve"> grau que a representa: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94"/>
      </w:tblGrid>
      <w:tr w:rsidR="00C10029" w14:paraId="0177AF82" w14:textId="77777777" w:rsidTr="00B3002E">
        <w:trPr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AFF5BF6" w14:textId="77777777" w:rsidR="00C10029" w:rsidRPr="000B4F68" w:rsidRDefault="00850FD1" w:rsidP="00B3002E">
            <w:pPr>
              <w:pStyle w:val="02TEXTOPRINCIPAL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+16=16x</m:t>
                </m:r>
              </m:oMath>
            </m:oMathPara>
          </w:p>
        </w:tc>
      </w:tr>
    </w:tbl>
    <w:p w14:paraId="6794B81C" w14:textId="77777777" w:rsidR="00C10029" w:rsidRDefault="00C10029" w:rsidP="00C10029">
      <w:pPr>
        <w:pStyle w:val="02TEXTOPRINCIPAL"/>
      </w:pPr>
      <w:r>
        <w:t>Depois, observe se o aluno percebeu que a equação que representa essa adivinha é um trinômio quadrado perfeito (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-16x+16=0</m:t>
        </m:r>
      </m:oMath>
      <w:r>
        <w:t>) e que, para descobrir a solução da adivinha, ele pode usar fatoração, com base na relação com produtos notáveis.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C10029" w14:paraId="62B9A0A9" w14:textId="77777777" w:rsidTr="00B3002E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F67F89E" w14:textId="77777777" w:rsidR="00C10029" w:rsidRPr="00A0468B" w:rsidRDefault="00850FD1" w:rsidP="00B3002E">
            <w:pPr>
              <w:pStyle w:val="02TEXTOPRINCIPAL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-2∙2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∙4+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</w:tbl>
    <w:p w14:paraId="06555661" w14:textId="77777777" w:rsidR="00C10029" w:rsidRDefault="00C10029" w:rsidP="00C10029">
      <w:pPr>
        <w:pStyle w:val="02TEXTOPRINCIPAL"/>
      </w:pPr>
      <w:r>
        <w:t>Forma fatorada: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68"/>
      </w:tblGrid>
      <w:tr w:rsidR="00C10029" w14:paraId="2225F3A5" w14:textId="77777777" w:rsidTr="00B3002E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2DF78B2" w14:textId="77777777" w:rsidR="00C10029" w:rsidRPr="00A0468B" w:rsidRDefault="00850FD1" w:rsidP="00B3002E">
            <w:pPr>
              <w:pStyle w:val="02TEXTOPRINCIPAL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2x-4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</w:tbl>
    <w:p w14:paraId="2500D683" w14:textId="77777777" w:rsidR="00C10029" w:rsidRDefault="00C10029" w:rsidP="00C10029">
      <w:pPr>
        <w:pStyle w:val="02TEXTOPRINCIPAL"/>
      </w:pPr>
      <w:r>
        <w:t>Como os dois fatores são iguais, a equação tem duas raízes iguais: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C10029" w14:paraId="1A906824" w14:textId="77777777" w:rsidTr="00B3002E">
        <w:trPr>
          <w:jc w:val="center"/>
        </w:trPr>
        <w:tc>
          <w:tcPr>
            <w:tcW w:w="3828" w:type="dxa"/>
          </w:tcPr>
          <w:p w14:paraId="2C3223B4" w14:textId="77777777" w:rsidR="00C10029" w:rsidRPr="00A0468B" w:rsidRDefault="00850FD1" w:rsidP="00B3002E">
            <w:pPr>
              <w:pStyle w:val="02TEXTOPRINCIPAL"/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=0⇒2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=4⇒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</m:oMath>
            </m:oMathPara>
          </w:p>
        </w:tc>
      </w:tr>
    </w:tbl>
    <w:p w14:paraId="30F7E5F3" w14:textId="77777777" w:rsidR="00C10029" w:rsidRDefault="00C10029" w:rsidP="00C10029">
      <w:pPr>
        <w:pStyle w:val="02TEXTOPRINCIPAL"/>
      </w:pPr>
      <w:r>
        <w:t>Portanto, a solução para a adivinha é o número 2.</w:t>
      </w:r>
    </w:p>
    <w:p w14:paraId="313D6FF3" w14:textId="77777777" w:rsidR="00C10029" w:rsidRDefault="00C10029" w:rsidP="00C10029">
      <w:pPr>
        <w:pStyle w:val="02TEXTOPRINCIPAL"/>
      </w:pPr>
      <w:r w:rsidRPr="00D157A6">
        <w:t>Se julgar necessário, retome os processos de fatoração de expressões algébricas, com base em suas relações com os produtos notáveis, para resolver problemas que possam ser representados por equações polinomiais do 2</w:t>
      </w:r>
      <w:r w:rsidRPr="00A7245F">
        <w:rPr>
          <w:u w:val="single"/>
          <w:vertAlign w:val="superscript"/>
        </w:rPr>
        <w:t>o</w:t>
      </w:r>
      <w:r w:rsidRPr="00D157A6">
        <w:t xml:space="preserve"> grau.</w:t>
      </w:r>
      <w:r>
        <w:br w:type="page"/>
      </w:r>
    </w:p>
    <w:p w14:paraId="1CFC7A7F" w14:textId="77777777" w:rsidR="00C10029" w:rsidRDefault="00C10029" w:rsidP="00C10029">
      <w:pPr>
        <w:pStyle w:val="02TEXTOPRINCIPAL"/>
      </w:pPr>
    </w:p>
    <w:p w14:paraId="1CF41CFA" w14:textId="77777777" w:rsidR="00C10029" w:rsidRDefault="00C10029" w:rsidP="00C10029">
      <w:pPr>
        <w:pStyle w:val="01TITULO4"/>
      </w:pPr>
      <w:r>
        <w:t xml:space="preserve">8. </w:t>
      </w:r>
      <w:r w:rsidRPr="007F6052">
        <w:rPr>
          <w:sz w:val="24"/>
          <w:szCs w:val="24"/>
        </w:rPr>
        <w:t>alternativa d</w:t>
      </w:r>
    </w:p>
    <w:p w14:paraId="5C085732" w14:textId="77777777" w:rsidR="00C10029" w:rsidRDefault="00C10029" w:rsidP="00E67725">
      <w:pPr>
        <w:pStyle w:val="02TEXTOPRINCIPAL"/>
        <w:spacing w:line="280" w:lineRule="atLeast"/>
        <w:rPr>
          <w:rFonts w:cs="Arial"/>
        </w:rPr>
      </w:pPr>
      <w:r w:rsidRPr="0011023F">
        <w:t>Caso ocorra erro,</w:t>
      </w:r>
      <w:r>
        <w:t xml:space="preserve"> verifique se o aluno identificou que ele pode calcular um valor para </w:t>
      </w:r>
      <m:oMath>
        <m:r>
          <w:rPr>
            <w:rFonts w:ascii="Cambria Math" w:hAnsi="Cambria Math"/>
          </w:rPr>
          <m:t>p</m:t>
        </m:r>
      </m:oMath>
      <w:r>
        <w:t xml:space="preserve">, de forma que a expressão </w:t>
      </w:r>
      <w:r w:rsidRPr="0011023F">
        <w:t>algébrica</w:t>
      </w:r>
      <w:r>
        <w:t xml:space="preserve"> </w:t>
      </w:r>
      <m:oMath>
        <m:sSup>
          <m:sSupPr>
            <m:ctrlPr>
              <w:rPr>
                <w:rFonts w:ascii="Cambria Math" w:eastAsiaTheme="minorHAnsi" w:hAnsi="Cambria Math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-10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p</m:t>
        </m:r>
      </m:oMath>
      <w:r>
        <w:t xml:space="preserve"> seja um trinômio quadrado perfeito. Isso significa que ele pode encontrar um número, por exemplo, </w:t>
      </w:r>
      <m:oMath>
        <m:r>
          <w:rPr>
            <w:rFonts w:ascii="Cambria Math" w:hAnsi="Cambria Math"/>
          </w:rPr>
          <m:t>y</m:t>
        </m:r>
      </m:oMath>
      <w:r>
        <w:t xml:space="preserve">, tal que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x-y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HAnsi" w:hAnsi="Cambria Math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-2∙</m:t>
        </m:r>
        <m:r>
          <w:rPr>
            <w:rFonts w:ascii="Cambria Math" w:hAnsi="Cambria Math"/>
            <w:sz w:val="24"/>
            <w:szCs w:val="24"/>
          </w:rPr>
          <m:t>x∙y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HAnsi" w:hAnsi="Cambria Math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-10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p</m:t>
        </m:r>
      </m:oMath>
      <w:r>
        <w:t xml:space="preserve">, assim a equação terá duas raízes iguais, pois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x-y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x-y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eastAsiaTheme="minorHAnsi" w:hAnsi="Cambria Math"/>
            <w:sz w:val="24"/>
            <w:szCs w:val="24"/>
            <w:lang w:eastAsia="en-US"/>
          </w:rPr>
          <m:t>0</m:t>
        </m:r>
      </m:oMath>
      <w:r>
        <w:rPr>
          <w:rFonts w:cs="Arial"/>
        </w:rPr>
        <w:t>. Os alunos podem utilizar diferentes estratégias para encontrar esse número. Se julgar oportuno, compartilhe-as.</w:t>
      </w:r>
    </w:p>
    <w:p w14:paraId="4705F1BB" w14:textId="77777777" w:rsidR="00C10029" w:rsidRDefault="00C10029" w:rsidP="00E67725">
      <w:pPr>
        <w:pStyle w:val="02TEXTOPRINCIPAL"/>
        <w:spacing w:line="280" w:lineRule="atLeast"/>
        <w:rPr>
          <w:color w:val="000000" w:themeColor="text1"/>
          <w:sz w:val="24"/>
          <w:szCs w:val="24"/>
        </w:rPr>
      </w:pPr>
      <w:r>
        <w:rPr>
          <w:rFonts w:cs="Arial"/>
          <w:color w:val="000000" w:themeColor="text1"/>
        </w:rPr>
        <w:t>Caso necessário, retome o</w:t>
      </w:r>
      <w:r w:rsidRPr="00D157A6">
        <w:t>s processos de fatoração de expressões algébrica</w:t>
      </w:r>
      <w:r>
        <w:t xml:space="preserve">s </w:t>
      </w:r>
      <w:r w:rsidRPr="00D157A6">
        <w:t>com base em suas relações com os produtos notáveis</w:t>
      </w:r>
      <w:r>
        <w:t>.</w:t>
      </w:r>
    </w:p>
    <w:p w14:paraId="4A17613C" w14:textId="77777777" w:rsidR="00C10029" w:rsidRDefault="00C10029" w:rsidP="00C10029">
      <w:pPr>
        <w:pStyle w:val="02TEXTOPRINCIPAL"/>
      </w:pPr>
    </w:p>
    <w:p w14:paraId="7DFA0D84" w14:textId="77777777" w:rsidR="00C10029" w:rsidRPr="00A93F95" w:rsidRDefault="00C10029" w:rsidP="00C10029">
      <w:pPr>
        <w:pStyle w:val="01TITULO4"/>
      </w:pPr>
      <w:r>
        <w:t>9</w:t>
      </w:r>
      <w:r w:rsidRPr="00A93F95">
        <w:t xml:space="preserve">. </w:t>
      </w:r>
      <w:r w:rsidRPr="007F6052">
        <w:rPr>
          <w:sz w:val="24"/>
          <w:szCs w:val="24"/>
        </w:rPr>
        <w:t>Espera-se que o aluno perceba que a soma das porcentagens apresentadas para cada setor não totaliza 100%, embora o gráfico de setor esteja completamente preenchido.</w:t>
      </w:r>
    </w:p>
    <w:p w14:paraId="2EB43591" w14:textId="031DC88F" w:rsidR="008D74B8" w:rsidRDefault="008D74B8" w:rsidP="008D74B8">
      <w:pPr>
        <w:pStyle w:val="02TEXTOPRINCIPAL"/>
      </w:pPr>
      <w:r w:rsidRPr="00A93F95">
        <w:t xml:space="preserve">Caso o aluno </w:t>
      </w:r>
      <w:r>
        <w:t>tenha</w:t>
      </w:r>
      <w:r w:rsidRPr="00A93F95">
        <w:t xml:space="preserve"> dificuldade em identificar o erro presente n</w:t>
      </w:r>
      <w:r>
        <w:t>o</w:t>
      </w:r>
      <w:r w:rsidRPr="00A93F95">
        <w:t xml:space="preserve"> gráfico, retome com ele que a área </w:t>
      </w:r>
      <w:r>
        <w:t>do círculo que representa o</w:t>
      </w:r>
      <w:r w:rsidRPr="00A93F95">
        <w:t xml:space="preserve"> gráfico de setores deve corresponder ao resultado total da pesquisa e que seus setores devem ser proporcionais às porcentagens de cada resposta. Ressalte que</w:t>
      </w:r>
      <w:r>
        <w:t>, como a pesquisa visava identificar o local mais utilizado por cada praticante de atividade física,</w:t>
      </w:r>
      <w:r w:rsidRPr="00A93F95">
        <w:t xml:space="preserve"> o fato de a soma das porcentagens apresentadas não totalizar 100% impede concluir, por exemplo, </w:t>
      </w:r>
      <w:r>
        <w:t>se</w:t>
      </w:r>
      <w:r w:rsidRPr="00A93F95">
        <w:t xml:space="preserve"> as pessoas costumam praticar atividades físicas </w:t>
      </w:r>
      <w:r>
        <w:t>nos</w:t>
      </w:r>
      <w:r w:rsidRPr="00A93F95">
        <w:t xml:space="preserve"> </w:t>
      </w:r>
      <w:r>
        <w:t>três tipos de</w:t>
      </w:r>
      <w:r w:rsidRPr="00A93F95">
        <w:t xml:space="preserve"> espaço </w:t>
      </w:r>
      <w:r>
        <w:t>apresentados no gráfico (academias, espaços abertos com instalações e espaços abertos sem instalações)</w:t>
      </w:r>
      <w:r w:rsidRPr="00A93F95">
        <w:t>.</w:t>
      </w:r>
      <w:r>
        <w:t xml:space="preserve"> </w:t>
      </w:r>
    </w:p>
    <w:p w14:paraId="5277CE8C" w14:textId="77777777" w:rsidR="008D74B8" w:rsidRDefault="008D74B8" w:rsidP="008D74B8">
      <w:pPr>
        <w:pStyle w:val="02TEXTOPRINCIPAL"/>
      </w:pPr>
      <w:r>
        <w:t>Se julgar necessário, retome com o aluno como calcular a medida do ângulo central dos setores de um gráfico de setores, de acordo com as porcentagens que cada setor deve representar e mostre que a área do círculo que representa o gráfico dessa questão não deveria estar completamente preenchida.</w:t>
      </w:r>
    </w:p>
    <w:p w14:paraId="19391778" w14:textId="77777777" w:rsidR="00C10029" w:rsidRDefault="00C10029" w:rsidP="00C10029">
      <w:pPr>
        <w:pStyle w:val="02TEXTOPRINCIPAL"/>
      </w:pPr>
    </w:p>
    <w:p w14:paraId="3E461A7B" w14:textId="363D531C" w:rsidR="00C10029" w:rsidRDefault="00C10029" w:rsidP="00C10029">
      <w:pPr>
        <w:pStyle w:val="01TITULO4"/>
        <w:rPr>
          <w:sz w:val="24"/>
          <w:szCs w:val="24"/>
        </w:rPr>
      </w:pPr>
      <w:r>
        <w:t>10</w:t>
      </w:r>
      <w:r w:rsidRPr="00A93F95">
        <w:t>.</w:t>
      </w:r>
      <w:bookmarkStart w:id="2" w:name="_GoBack"/>
      <w:bookmarkEnd w:id="2"/>
    </w:p>
    <w:p w14:paraId="7EAE8D32" w14:textId="77777777" w:rsidR="00645DE1" w:rsidRDefault="00645DE1" w:rsidP="00645DE1">
      <w:pPr>
        <w:pStyle w:val="02TEXTOPRINCIPAL"/>
      </w:pPr>
      <w:r>
        <w:t>a) De acordo com os dados apresentados no gráfico, temos</w:t>
      </w:r>
      <w:r w:rsidRPr="00645DE1">
        <w:t xml:space="preserve">, em porcentagem, </w:t>
      </w:r>
      <w:r>
        <w:t>a participação do PIB do agronegócio no PIB total do Brasil, nos seguintes anos:</w:t>
      </w:r>
    </w:p>
    <w:p w14:paraId="096BA84F" w14:textId="77777777" w:rsidR="00645DE1" w:rsidRDefault="00645DE1" w:rsidP="00645DE1">
      <w:pPr>
        <w:pStyle w:val="02TEXTOPRINCIPAL"/>
      </w:pPr>
      <w:r>
        <w:t>1994 e 2003: 26,3% (maior participação)</w:t>
      </w:r>
    </w:p>
    <w:p w14:paraId="02249CF8" w14:textId="77777777" w:rsidR="00645DE1" w:rsidRDefault="00645DE1" w:rsidP="00645DE1">
      <w:pPr>
        <w:pStyle w:val="02TEXTOPRINCIPAL"/>
      </w:pPr>
      <w:r>
        <w:t>1999: 24,5%</w:t>
      </w:r>
    </w:p>
    <w:p w14:paraId="51A68765" w14:textId="77777777" w:rsidR="00645DE1" w:rsidRDefault="00645DE1" w:rsidP="00645DE1">
      <w:pPr>
        <w:pStyle w:val="02TEXTOPRINCIPAL"/>
      </w:pPr>
      <w:r>
        <w:t>2006: 22,8%</w:t>
      </w:r>
    </w:p>
    <w:p w14:paraId="7CA51B76" w14:textId="77777777" w:rsidR="00645DE1" w:rsidRDefault="00645DE1" w:rsidP="00645DE1">
      <w:pPr>
        <w:pStyle w:val="02TEXTOPRINCIPAL"/>
      </w:pPr>
      <w:r>
        <w:t>2008: 23,8%</w:t>
      </w:r>
    </w:p>
    <w:p w14:paraId="651B72AE" w14:textId="77777777" w:rsidR="00645DE1" w:rsidRDefault="00645DE1" w:rsidP="00645DE1">
      <w:pPr>
        <w:pStyle w:val="02TEXTOPRINCIPAL"/>
      </w:pPr>
      <w:r>
        <w:t>2012: 22,2% (menor participação)</w:t>
      </w:r>
    </w:p>
    <w:p w14:paraId="690B5DF1" w14:textId="77777777" w:rsidR="00645DE1" w:rsidRDefault="00645DE1" w:rsidP="00645DE1">
      <w:pPr>
        <w:pStyle w:val="02TEXTOPRINCIPAL"/>
      </w:pPr>
      <w:r>
        <w:t>2013: 22,5%</w:t>
      </w:r>
    </w:p>
    <w:p w14:paraId="741FD37E" w14:textId="77777777" w:rsidR="00645DE1" w:rsidRDefault="00645DE1" w:rsidP="00645DE1">
      <w:pPr>
        <w:pStyle w:val="02TEXTOPRINCIPAL"/>
      </w:pPr>
      <w:r>
        <w:t>Portanto, a maior variação, em porcentagem, da participação do PIB do agronegócio no PIB total brasileiro foi de 4,1% (26,3% – 22,2%) e ocorreu no ano de 2012.</w:t>
      </w:r>
    </w:p>
    <w:p w14:paraId="04018D07" w14:textId="77777777" w:rsidR="00645DE1" w:rsidRDefault="00645DE1" w:rsidP="00645DE1">
      <w:pPr>
        <w:pStyle w:val="02TEXTOPRINCIPAL"/>
      </w:pPr>
      <w:r>
        <w:t xml:space="preserve">b) Espera-se que os alunos percebam que a escala do eixo </w:t>
      </w:r>
      <w:r w:rsidRPr="00ED3395">
        <w:rPr>
          <w:i/>
        </w:rPr>
        <w:t>y</w:t>
      </w:r>
      <w:r>
        <w:t xml:space="preserve"> (que apresenta as porcentagens da participação) inicia em 20% e é graduada em 1%. O correto seria a escala iniciar em 0% e ser graduada em 1%, podendo apresentar o símbolo // para indicar a supressão da escala entre 0% e 20%. </w:t>
      </w:r>
    </w:p>
    <w:p w14:paraId="4A8BE995" w14:textId="0C257EC9" w:rsidR="00645DE1" w:rsidRDefault="00645DE1" w:rsidP="00645DE1">
      <w:pPr>
        <w:pStyle w:val="02TEXTOPRINCIPAL"/>
      </w:pPr>
      <w:r>
        <w:t xml:space="preserve">A falta da supressão na escala, graduada em 1%, faz com que a altura da barra que representa o ano de 2012 (22,2%) seja menor que a altura da barra que representa a maior variação da participação do PIB do agronegócio no PIB total (4,1%). Isso pode levar o leitor </w:t>
      </w:r>
      <w:r w:rsidR="008320A6">
        <w:t xml:space="preserve">a </w:t>
      </w:r>
      <w:r>
        <w:t>interpreta</w:t>
      </w:r>
      <w:r w:rsidR="008320A6">
        <w:t>r</w:t>
      </w:r>
      <w:r>
        <w:t xml:space="preserve"> equivocada</w:t>
      </w:r>
      <w:r w:rsidR="008320A6">
        <w:t>mente</w:t>
      </w:r>
      <w:r>
        <w:t xml:space="preserve"> que a variação foi “grande” ou “extremamente grande”. </w:t>
      </w:r>
    </w:p>
    <w:p w14:paraId="72E13FFB" w14:textId="77777777" w:rsidR="00645DE1" w:rsidRPr="00645DE1" w:rsidRDefault="00645DE1" w:rsidP="00C10029">
      <w:pPr>
        <w:pStyle w:val="01TITULO4"/>
        <w:rPr>
          <w:b w:val="0"/>
          <w:sz w:val="24"/>
          <w:szCs w:val="24"/>
        </w:rPr>
      </w:pPr>
    </w:p>
    <w:p w14:paraId="2272A9E4" w14:textId="77777777" w:rsidR="00C10029" w:rsidRDefault="00C10029" w:rsidP="00C100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F475648" wp14:editId="4EC5FFF7">
            <wp:extent cx="5324856" cy="2145792"/>
            <wp:effectExtent l="0" t="0" r="952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NOVA_AM9_MD_LT3_3bim_AA3_gabarito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5510" w14:textId="77777777" w:rsidR="00C10029" w:rsidRDefault="00C10029" w:rsidP="00C10029">
      <w:pPr>
        <w:pStyle w:val="06CREDITO"/>
      </w:pPr>
      <w:r w:rsidRPr="00016FCF">
        <w:t xml:space="preserve">Fontes: </w:t>
      </w:r>
      <w:proofErr w:type="spellStart"/>
      <w:r w:rsidRPr="00016FCF">
        <w:t>Cepea</w:t>
      </w:r>
      <w:proofErr w:type="spellEnd"/>
      <w:r w:rsidRPr="00016FCF">
        <w:t xml:space="preserve"> (PIB Agro) e IBGE (PIB Total): elaboração </w:t>
      </w:r>
      <w:proofErr w:type="spellStart"/>
      <w:r w:rsidRPr="00016FCF">
        <w:t>Cepea</w:t>
      </w:r>
      <w:proofErr w:type="spellEnd"/>
    </w:p>
    <w:p w14:paraId="3C881A5C" w14:textId="245E1023" w:rsidR="00C10029" w:rsidRDefault="00C10029" w:rsidP="00C10029">
      <w:pPr>
        <w:pStyle w:val="02TEXTOPRINCIPAL"/>
      </w:pPr>
    </w:p>
    <w:p w14:paraId="66826E3E" w14:textId="290DD5EF" w:rsidR="00F50365" w:rsidRDefault="00F50365" w:rsidP="00F50365">
      <w:pPr>
        <w:pStyle w:val="02TEXTOPRINCIPAL"/>
      </w:pPr>
      <w:r w:rsidRPr="00A27C89">
        <w:t>Saliente que a escolha do tipo de gráfico adequado</w:t>
      </w:r>
      <w:r>
        <w:t xml:space="preserve"> a cada situação</w:t>
      </w:r>
      <w:r w:rsidRPr="00A27C89">
        <w:t xml:space="preserve"> e o cuidado com determinadas características dos gráficos, como escala, legenda e proporcionalidade</w:t>
      </w:r>
      <w:r>
        <w:t xml:space="preserve"> na representação dos dados</w:t>
      </w:r>
      <w:r w:rsidRPr="00A27C89">
        <w:t>,</w:t>
      </w:r>
      <w:r w:rsidR="005362B3">
        <w:br/>
      </w:r>
      <w:r w:rsidRPr="00A27C89">
        <w:t>são fundamentais para que as informações não sejam divulgadas</w:t>
      </w:r>
      <w:r>
        <w:t xml:space="preserve"> de maneira enganosa ou possam levar a interpretações equivocadas.</w:t>
      </w:r>
    </w:p>
    <w:p w14:paraId="34CC2FB8" w14:textId="6C35B0AD" w:rsidR="00F50365" w:rsidRDefault="00F50365" w:rsidP="00F50365">
      <w:pPr>
        <w:pStyle w:val="02TEXTOPRINCIPAL"/>
      </w:pPr>
      <w:r>
        <w:t>Caso ocorra</w:t>
      </w:r>
      <w:r w:rsidR="00CA2F76">
        <w:t>m</w:t>
      </w:r>
      <w:r>
        <w:t xml:space="preserve"> dúvidas sobre a interpretação do gráfico ser ou não prejudicada pela escala escolhida, peça aos alunos que representem os dados referentes aos anos de 1994, 1999, 2003, 2006, 2008, 2012 e 2013 em um gráfico de barras com a escala iniciando em 0% e graduada em 5%. Verifique se os alunos percebem que, nessa nova representação, as barras apresentam alturas próximas, fazendo com que a medida que representa a variação entre os valores da participação do PIB se mantenha na proporção escolhida. </w:t>
      </w:r>
    </w:p>
    <w:p w14:paraId="479DDFA3" w14:textId="77777777" w:rsidR="00F50365" w:rsidRDefault="00F50365" w:rsidP="00C10029">
      <w:pPr>
        <w:pStyle w:val="02TEXTOPRINCIPAL"/>
      </w:pPr>
    </w:p>
    <w:p w14:paraId="4C680334" w14:textId="77777777" w:rsidR="00C10029" w:rsidRDefault="00C10029" w:rsidP="00C100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CF99195" wp14:editId="2D52B55B">
            <wp:extent cx="4788408" cy="21153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g_NOVA_AM9_MD_LT3_3bim_AA3_gabarito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C324" w14:textId="3A7E5CC9" w:rsidR="00AC54DF" w:rsidRPr="00922421" w:rsidRDefault="00C10029" w:rsidP="00AC54DF">
      <w:pPr>
        <w:pStyle w:val="02TEXTOPRINCIPAL"/>
        <w:rPr>
          <w:sz w:val="16"/>
        </w:rPr>
      </w:pPr>
      <w:r w:rsidRPr="00016FCF">
        <w:rPr>
          <w:sz w:val="16"/>
        </w:rPr>
        <w:t xml:space="preserve">Gráfico elaborado com base nos dados do </w:t>
      </w:r>
      <w:proofErr w:type="spellStart"/>
      <w:r w:rsidRPr="00016FCF">
        <w:rPr>
          <w:sz w:val="16"/>
        </w:rPr>
        <w:t>Cepea</w:t>
      </w:r>
      <w:proofErr w:type="spellEnd"/>
      <w:r w:rsidRPr="00016FCF">
        <w:rPr>
          <w:sz w:val="16"/>
        </w:rPr>
        <w:t xml:space="preserve"> (PIB Agro) e IBGE (PIB Total)</w:t>
      </w:r>
    </w:p>
    <w:sectPr w:rsidR="00AC54DF" w:rsidRPr="00922421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A3093" w14:textId="77777777" w:rsidR="00850FD1" w:rsidRDefault="00850FD1">
      <w:r>
        <w:separator/>
      </w:r>
    </w:p>
  </w:endnote>
  <w:endnote w:type="continuationSeparator" w:id="0">
    <w:p w14:paraId="400727C6" w14:textId="77777777" w:rsidR="00850FD1" w:rsidRDefault="0085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6B5432E-50E2-4F57-93A3-56C589EF88FB}"/>
    <w:embedBold r:id="rId2" w:fontKey="{A961BA4E-DB84-4F1F-B57F-9414BFE314DD}"/>
    <w:embedItalic r:id="rId3" w:fontKey="{ABBFF9B8-05BE-47EC-9CA2-A6696ECE36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D873D2-5E11-4196-B180-6B1BE359EFAA}"/>
    <w:embedBold r:id="rId5" w:fontKey="{0604C03A-526D-40E2-B698-AEEFE0973949}"/>
    <w:embedBoldItalic r:id="rId6" w:fontKey="{80502769-5528-4372-9DFB-4FA25F983B7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8BF8EA5-6E35-4B72-8F3A-A15E2E2672AD}"/>
    <w:embedBold r:id="rId8" w:fontKey="{353A3689-55BE-442A-B87B-57A74E699556}"/>
    <w:embedBoldItalic r:id="rId9" w:fontKey="{D2E6AE7C-6A5D-4353-8336-02A4BA14B10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53CD4C4-1F03-4CC3-8A42-1C9F07C120D1}"/>
    <w:embedBold r:id="rId11" w:fontKey="{F54E2A95-3E47-48C4-9A9A-51A0451463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7C89BA3-CF66-4EE5-B7B4-FBD4A69107DB}"/>
    <w:embedItalic r:id="rId13" w:fontKey="{C1A4679D-571C-453A-9746-6356D27263D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B84B163-7F15-4053-91B4-A2D882406ABE}"/>
    <w:embedBold r:id="rId15" w:fontKey="{48961398-821F-46C1-8197-90BBD9831102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7485C8E5-5908-4548-AD19-81CAE45AE9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FD39F463-193C-444F-8AD6-939D83516338}"/>
    <w:embedBold r:id="rId18" w:fontKey="{601149EF-76BE-41FC-873C-5CE1889D0331}"/>
    <w:embedItalic r:id="rId19" w:fontKey="{2A0E6FAA-ABF4-4CAD-9854-9B9C1A0BAE5C}"/>
  </w:font>
  <w:font w:name="Gotham-Book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31FA9" w:rsidRPr="005A1C11" w14:paraId="14D2F222" w14:textId="77777777" w:rsidTr="003F4463">
      <w:tc>
        <w:tcPr>
          <w:tcW w:w="9606" w:type="dxa"/>
        </w:tcPr>
        <w:p w14:paraId="5F2138E9" w14:textId="77777777" w:rsidR="00531FA9" w:rsidRPr="005A1C11" w:rsidRDefault="00531F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8912F5E" w14:textId="6B399D29" w:rsidR="00531FA9" w:rsidRPr="005A1C11" w:rsidRDefault="00531F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41E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531FA9" w:rsidRDefault="00852916" w:rsidP="00531F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B3D51" w14:textId="77777777" w:rsidR="00850FD1" w:rsidRDefault="00850FD1">
      <w:r>
        <w:rPr>
          <w:color w:val="000000"/>
        </w:rPr>
        <w:separator/>
      </w:r>
    </w:p>
  </w:footnote>
  <w:footnote w:type="continuationSeparator" w:id="0">
    <w:p w14:paraId="72FB3C67" w14:textId="77777777" w:rsidR="00850FD1" w:rsidRDefault="00850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AC4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E15"/>
    <w:rsid w:val="00006276"/>
    <w:rsid w:val="00011DAC"/>
    <w:rsid w:val="00012164"/>
    <w:rsid w:val="00016FCF"/>
    <w:rsid w:val="00037C61"/>
    <w:rsid w:val="00055B7F"/>
    <w:rsid w:val="00055E72"/>
    <w:rsid w:val="000628EC"/>
    <w:rsid w:val="000753E7"/>
    <w:rsid w:val="00076EF4"/>
    <w:rsid w:val="000A7F47"/>
    <w:rsid w:val="000B0BC7"/>
    <w:rsid w:val="000B4F68"/>
    <w:rsid w:val="000C0543"/>
    <w:rsid w:val="000C1009"/>
    <w:rsid w:val="000C6EC8"/>
    <w:rsid w:val="000D68E1"/>
    <w:rsid w:val="000F152B"/>
    <w:rsid w:val="000F37E4"/>
    <w:rsid w:val="001109E7"/>
    <w:rsid w:val="001245D5"/>
    <w:rsid w:val="00126F41"/>
    <w:rsid w:val="0013172C"/>
    <w:rsid w:val="00133AA8"/>
    <w:rsid w:val="00141973"/>
    <w:rsid w:val="00171D64"/>
    <w:rsid w:val="001814F8"/>
    <w:rsid w:val="00182B00"/>
    <w:rsid w:val="001B4098"/>
    <w:rsid w:val="001C14AB"/>
    <w:rsid w:val="001C384B"/>
    <w:rsid w:val="001E305A"/>
    <w:rsid w:val="001F66E7"/>
    <w:rsid w:val="002009EA"/>
    <w:rsid w:val="0020549D"/>
    <w:rsid w:val="00210B7C"/>
    <w:rsid w:val="0024295A"/>
    <w:rsid w:val="0026445C"/>
    <w:rsid w:val="002869BA"/>
    <w:rsid w:val="002B4837"/>
    <w:rsid w:val="002C49D0"/>
    <w:rsid w:val="002C6E52"/>
    <w:rsid w:val="002D0386"/>
    <w:rsid w:val="002E6463"/>
    <w:rsid w:val="002F1D46"/>
    <w:rsid w:val="002F294E"/>
    <w:rsid w:val="002F33DD"/>
    <w:rsid w:val="0030739A"/>
    <w:rsid w:val="00341BA6"/>
    <w:rsid w:val="003770AA"/>
    <w:rsid w:val="00383B96"/>
    <w:rsid w:val="003C3801"/>
    <w:rsid w:val="003D6DE5"/>
    <w:rsid w:val="003E22F9"/>
    <w:rsid w:val="004018EC"/>
    <w:rsid w:val="00426FFF"/>
    <w:rsid w:val="004367DC"/>
    <w:rsid w:val="00450016"/>
    <w:rsid w:val="0045456D"/>
    <w:rsid w:val="00464D4F"/>
    <w:rsid w:val="004855F4"/>
    <w:rsid w:val="00494B2F"/>
    <w:rsid w:val="004954A5"/>
    <w:rsid w:val="004C2C31"/>
    <w:rsid w:val="004F0796"/>
    <w:rsid w:val="004F0A5B"/>
    <w:rsid w:val="00512EF1"/>
    <w:rsid w:val="00525C51"/>
    <w:rsid w:val="0052715E"/>
    <w:rsid w:val="00531FA9"/>
    <w:rsid w:val="005362B3"/>
    <w:rsid w:val="00547F20"/>
    <w:rsid w:val="005674FC"/>
    <w:rsid w:val="00586106"/>
    <w:rsid w:val="005B027B"/>
    <w:rsid w:val="005D03F2"/>
    <w:rsid w:val="005D7883"/>
    <w:rsid w:val="005E0DE9"/>
    <w:rsid w:val="005E7513"/>
    <w:rsid w:val="005F7E1D"/>
    <w:rsid w:val="00642F61"/>
    <w:rsid w:val="00644D36"/>
    <w:rsid w:val="00645DE1"/>
    <w:rsid w:val="00662FE0"/>
    <w:rsid w:val="00675254"/>
    <w:rsid w:val="00676297"/>
    <w:rsid w:val="00685BA2"/>
    <w:rsid w:val="006A2CF3"/>
    <w:rsid w:val="006C273D"/>
    <w:rsid w:val="006D5809"/>
    <w:rsid w:val="00703EEA"/>
    <w:rsid w:val="0072060A"/>
    <w:rsid w:val="0078638B"/>
    <w:rsid w:val="007B26E5"/>
    <w:rsid w:val="007C047B"/>
    <w:rsid w:val="007F6052"/>
    <w:rsid w:val="00802F95"/>
    <w:rsid w:val="00806753"/>
    <w:rsid w:val="00822054"/>
    <w:rsid w:val="008320A6"/>
    <w:rsid w:val="00850FD1"/>
    <w:rsid w:val="00852916"/>
    <w:rsid w:val="00874E19"/>
    <w:rsid w:val="008A29D6"/>
    <w:rsid w:val="008A2BE4"/>
    <w:rsid w:val="008C2A24"/>
    <w:rsid w:val="008C6654"/>
    <w:rsid w:val="008D0BC4"/>
    <w:rsid w:val="008D74B8"/>
    <w:rsid w:val="008E09F8"/>
    <w:rsid w:val="008E2E58"/>
    <w:rsid w:val="008F7795"/>
    <w:rsid w:val="00922421"/>
    <w:rsid w:val="0093499D"/>
    <w:rsid w:val="00935D6C"/>
    <w:rsid w:val="009541EA"/>
    <w:rsid w:val="009969A5"/>
    <w:rsid w:val="009A36B6"/>
    <w:rsid w:val="009A377B"/>
    <w:rsid w:val="009A5D2C"/>
    <w:rsid w:val="009E14C7"/>
    <w:rsid w:val="009E2A1B"/>
    <w:rsid w:val="009E59B9"/>
    <w:rsid w:val="00A0468B"/>
    <w:rsid w:val="00A1683F"/>
    <w:rsid w:val="00A210F3"/>
    <w:rsid w:val="00A36480"/>
    <w:rsid w:val="00A66841"/>
    <w:rsid w:val="00A74FAE"/>
    <w:rsid w:val="00A91A27"/>
    <w:rsid w:val="00AC54DF"/>
    <w:rsid w:val="00AD49A3"/>
    <w:rsid w:val="00AE3D83"/>
    <w:rsid w:val="00AF1C02"/>
    <w:rsid w:val="00B04ED5"/>
    <w:rsid w:val="00B05D45"/>
    <w:rsid w:val="00B22083"/>
    <w:rsid w:val="00B36FBF"/>
    <w:rsid w:val="00B735B1"/>
    <w:rsid w:val="00B939C1"/>
    <w:rsid w:val="00BB2289"/>
    <w:rsid w:val="00BC03A5"/>
    <w:rsid w:val="00BE0E52"/>
    <w:rsid w:val="00BE346A"/>
    <w:rsid w:val="00C10029"/>
    <w:rsid w:val="00C222FA"/>
    <w:rsid w:val="00C30FDE"/>
    <w:rsid w:val="00C4447E"/>
    <w:rsid w:val="00C466D7"/>
    <w:rsid w:val="00C65D98"/>
    <w:rsid w:val="00C66B61"/>
    <w:rsid w:val="00C67490"/>
    <w:rsid w:val="00C867EE"/>
    <w:rsid w:val="00C92898"/>
    <w:rsid w:val="00CA2F76"/>
    <w:rsid w:val="00CC5CBB"/>
    <w:rsid w:val="00CF42D1"/>
    <w:rsid w:val="00D02393"/>
    <w:rsid w:val="00D026B7"/>
    <w:rsid w:val="00D418A3"/>
    <w:rsid w:val="00D537E4"/>
    <w:rsid w:val="00D636D3"/>
    <w:rsid w:val="00D83E1B"/>
    <w:rsid w:val="00D91A65"/>
    <w:rsid w:val="00D951A2"/>
    <w:rsid w:val="00DA341E"/>
    <w:rsid w:val="00DA7CE0"/>
    <w:rsid w:val="00DB196E"/>
    <w:rsid w:val="00DF1AD2"/>
    <w:rsid w:val="00E05E1E"/>
    <w:rsid w:val="00E14CEA"/>
    <w:rsid w:val="00E174DB"/>
    <w:rsid w:val="00E27094"/>
    <w:rsid w:val="00E3037F"/>
    <w:rsid w:val="00E3199B"/>
    <w:rsid w:val="00E3645A"/>
    <w:rsid w:val="00E449E3"/>
    <w:rsid w:val="00E50897"/>
    <w:rsid w:val="00E67725"/>
    <w:rsid w:val="00E76109"/>
    <w:rsid w:val="00E90F29"/>
    <w:rsid w:val="00E9332E"/>
    <w:rsid w:val="00E97485"/>
    <w:rsid w:val="00ED7CAD"/>
    <w:rsid w:val="00F030D0"/>
    <w:rsid w:val="00F04D2C"/>
    <w:rsid w:val="00F32CAC"/>
    <w:rsid w:val="00F41358"/>
    <w:rsid w:val="00F50365"/>
    <w:rsid w:val="00F77274"/>
    <w:rsid w:val="00F81B34"/>
    <w:rsid w:val="00F960C0"/>
    <w:rsid w:val="00FA209D"/>
    <w:rsid w:val="00FA2F05"/>
    <w:rsid w:val="00FB5385"/>
    <w:rsid w:val="00FD5852"/>
    <w:rsid w:val="00FE0D9F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EB87C2B-198C-4B24-97A4-C1C59C15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16FCF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9349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Default">
    <w:name w:val="Default"/>
    <w:rsid w:val="008D0BC4"/>
    <w:pPr>
      <w:autoSpaceDE w:val="0"/>
      <w:adjustRightInd w:val="0"/>
      <w:textAlignment w:val="auto"/>
    </w:pPr>
    <w:rPr>
      <w:rFonts w:ascii="Minion Pro" w:eastAsia="Calibri" w:hAnsi="Minion Pro" w:cs="Minion Pro"/>
      <w:color w:val="000000"/>
      <w:kern w:val="0"/>
      <w:sz w:val="24"/>
      <w:szCs w:val="24"/>
      <w:lang w:eastAsia="pt-BR" w:bidi="ar-SA"/>
    </w:rPr>
  </w:style>
  <w:style w:type="paragraph" w:customStyle="1" w:styleId="xmsonormal">
    <w:name w:val="x_msonormal"/>
    <w:basedOn w:val="Normal"/>
    <w:rsid w:val="008D0BC4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1587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2018-10-29T18:11:00Z</dcterms:created>
  <dcterms:modified xsi:type="dcterms:W3CDTF">2018-11-15T16:44:00Z</dcterms:modified>
</cp:coreProperties>
</file>