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E74" w:rsidRDefault="009C6287">
      <w:pPr>
        <w:pStyle w:val="01TITULO1"/>
      </w:pPr>
      <w:r>
        <w:t>PLANO DE DESENVOLVIMENTO</w:t>
      </w:r>
    </w:p>
    <w:p w:rsidR="00774E74" w:rsidRDefault="009C6287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9º ano – 3º bimestre</w:t>
      </w:r>
    </w:p>
    <w:p w:rsidR="00774E74" w:rsidRDefault="00774E74">
      <w:pPr>
        <w:pStyle w:val="02TEXTOPRINCIPAL"/>
      </w:pPr>
    </w:p>
    <w:p w:rsidR="00774E74" w:rsidRDefault="009C6287">
      <w:pPr>
        <w:pStyle w:val="01TITULO3"/>
      </w:pPr>
      <w:r>
        <w:t>1. Introdução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Este Plano de Desenvolvimento busca orientar o/a professor/a quanto ao gerenciamento do conteúdo do volume do 9</w:t>
      </w:r>
      <w:r>
        <w:rPr>
          <w:rFonts w:ascii="Cambria" w:hAnsi="Cambria"/>
        </w:rPr>
        <w:t>º</w:t>
      </w:r>
      <w:r>
        <w:t xml:space="preserve"> ano do Ensino Fundamental, proposto pela Base Nacional Comum Curricular. Essa orientação apresenta as práticas didático-pedagógicas recorrentes em aula, exemplificadas com sua apresentação no livro do aluno, e propõe formas diferenciadas de interação e desenvolvimento das atividades, tendo em vista as habilidades a serem trabalhadas em cada bimestre.</w:t>
      </w:r>
    </w:p>
    <w:p w:rsidR="00774E74" w:rsidRDefault="009C6287">
      <w:pPr>
        <w:pStyle w:val="02TEXTOPRINCIPAL"/>
      </w:pPr>
      <w:r>
        <w:t>O plano aponta, ainda, os objetos de conhecimento a serem explorados no 9</w:t>
      </w:r>
      <w:r>
        <w:rPr>
          <w:rFonts w:ascii="Cambria" w:hAnsi="Cambria"/>
        </w:rPr>
        <w:t>º</w:t>
      </w:r>
      <w:r>
        <w:t xml:space="preserve"> ano, de modo que os/as estudantes possam desenvolver competências para a vida e para as próximas etapas escolares, agregando conhecimentos e construindo saberes. </w:t>
      </w:r>
    </w:p>
    <w:p w:rsidR="00774E74" w:rsidRDefault="009C6287">
      <w:pPr>
        <w:pStyle w:val="02TEXTOPRINCIPAL"/>
      </w:pPr>
      <w:r>
        <w:t>Também são apresentadas orientações para a gestão da sala e explanações sobre propostas de acompanhamento da aprendizagem, além de indicações de outras fontes de pesquisas e leituras, tanto para o/a professor/a quanto para os/as estudantes.</w:t>
      </w:r>
    </w:p>
    <w:p w:rsidR="00774E74" w:rsidRDefault="009C6287">
      <w:pPr>
        <w:pStyle w:val="02TEXTOPRINCIPAL"/>
      </w:pPr>
      <w:r>
        <w:t>Ao final deste plano, sugerimos um Projeto Integrador que reúne objetos de conhecimento e habilidades de dois componentes curriculares, com o intuito de favorecer o desenvolvimento das competências gerais constantes na BNCC.</w:t>
      </w:r>
    </w:p>
    <w:p w:rsidR="00774E74" w:rsidRDefault="00774E74">
      <w:pPr>
        <w:pStyle w:val="02TEXTOPRINCIPAL"/>
        <w:rPr>
          <w:b/>
        </w:rPr>
      </w:pPr>
    </w:p>
    <w:p w:rsidR="00774E74" w:rsidRDefault="009C6287">
      <w:pPr>
        <w:pStyle w:val="01TITULO3"/>
      </w:pPr>
      <w:r>
        <w:t>2. Temas, objetivos específicos, eixos, objetos de conhecimento e práticas pedagógicas trabalhados no bimestre</w:t>
      </w:r>
    </w:p>
    <w:p w:rsidR="00774E74" w:rsidRDefault="00774E74"/>
    <w:tbl>
      <w:tblPr>
        <w:tblStyle w:val="Tabelacomgrade"/>
        <w:tblW w:w="8489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10"/>
        <w:gridCol w:w="6379"/>
      </w:tblGrid>
      <w:tr w:rsidR="00774E74">
        <w:tc>
          <w:tcPr>
            <w:tcW w:w="8488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774E74" w:rsidRDefault="009C6287">
            <w:pPr>
              <w:pStyle w:val="03TITULOTABELAS1"/>
            </w:pPr>
            <w:r>
              <w:t>9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774E74">
        <w:tc>
          <w:tcPr>
            <w:tcW w:w="8488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774E74" w:rsidRDefault="009C6287">
            <w:pPr>
              <w:pStyle w:val="03TITULOTABELAS2"/>
              <w:rPr>
                <w:i/>
              </w:rPr>
            </w:pPr>
            <w:r>
              <w:rPr>
                <w:i/>
              </w:rPr>
              <w:t>Unit 5: Global and local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Eixos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Oralidade, leitura, escrita e conhecimentos linguísticos e dimensão intercultural.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Temas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  <w:rPr>
                <w:color w:val="000000"/>
              </w:rPr>
            </w:pPr>
            <w:r>
              <w:t xml:space="preserve">Globalização, abordando </w:t>
            </w:r>
            <w:r>
              <w:rPr>
                <w:lang w:eastAsia="pt-BR"/>
              </w:rPr>
              <w:t xml:space="preserve">a interconexão entre identidades locais e elementos estrangeiros, bem como o impacto global de ações locais. 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Objetivos específicos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- Compreender e produzir um artigo de opinião.</w:t>
            </w:r>
          </w:p>
          <w:p w:rsidR="00774E74" w:rsidRDefault="009C6287">
            <w:pPr>
              <w:pStyle w:val="04TEXTOTABELAS"/>
            </w:pPr>
            <w:r>
              <w:t>- Compreender o uso de expressões para apresentar um ponto de vista, argumentar e contra-argumentar.</w:t>
            </w:r>
          </w:p>
          <w:p w:rsidR="00774E74" w:rsidRDefault="009C6287">
            <w:pPr>
              <w:pStyle w:val="04TEXTOTABELAS"/>
            </w:pPr>
            <w:r>
              <w:t xml:space="preserve">- Compreender um monólogo defendendo um posicionamento. </w:t>
            </w:r>
          </w:p>
          <w:p w:rsidR="00774E74" w:rsidRDefault="009C6287">
            <w:pPr>
              <w:pStyle w:val="04TEXTOTABELAS"/>
            </w:pPr>
            <w:r>
              <w:t xml:space="preserve">- Identificar o uso do </w:t>
            </w:r>
            <w:r>
              <w:rPr>
                <w:i/>
              </w:rPr>
              <w:t>present perfect</w:t>
            </w:r>
            <w:r>
              <w:t xml:space="preserve"> para exprimir ações iniciadas no passado e que se estendem ao presente.</w:t>
            </w:r>
          </w:p>
          <w:p w:rsidR="00774E74" w:rsidRDefault="009C6287">
            <w:pPr>
              <w:pStyle w:val="04TEXTOTABELAS"/>
            </w:pPr>
            <w:r>
              <w:t>- Refletir sobre a interconexão entre situações locais e globais, em especial no campo das línguas, e sobre os pontos positivos e negativos da globalização, com enfoque em aspectos culturais.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Objetos de conhecimento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- Funções e usos da língua inglesa: persuasão.</w:t>
            </w:r>
          </w:p>
          <w:p w:rsidR="00774E74" w:rsidRDefault="009C6287">
            <w:pPr>
              <w:pStyle w:val="04TEXTOTABELAS"/>
            </w:pPr>
            <w:r>
              <w:t>- Compreensão de textos orais, multimodais, de cunho argumentativo.</w:t>
            </w:r>
          </w:p>
          <w:p w:rsidR="00774E74" w:rsidRDefault="009C6287">
            <w:pPr>
              <w:pStyle w:val="04TEXTOTABELAS"/>
            </w:pPr>
            <w:r>
              <w:t>- Recursos de argumentação.</w:t>
            </w:r>
          </w:p>
          <w:p w:rsidR="00774E74" w:rsidRDefault="009C6287">
            <w:pPr>
              <w:pStyle w:val="04TEXTOTABELAS"/>
            </w:pPr>
            <w:r>
              <w:t>- Informações em ambientes virtuais.</w:t>
            </w:r>
          </w:p>
          <w:p w:rsidR="00774E74" w:rsidRDefault="009C6287">
            <w:pPr>
              <w:pStyle w:val="04TEXTOTABELAS"/>
            </w:pPr>
            <w:r>
              <w:t>- Reflexão pós-leitura.</w:t>
            </w:r>
          </w:p>
          <w:p w:rsidR="00774E74" w:rsidRDefault="009C6287">
            <w:pPr>
              <w:pStyle w:val="04TEXTOTABELAS"/>
            </w:pPr>
            <w:r>
              <w:t>- Escrita: construção da argumentação.</w:t>
            </w:r>
          </w:p>
        </w:tc>
      </w:tr>
    </w:tbl>
    <w:p w:rsidR="00774E74" w:rsidRDefault="009C6287">
      <w:pPr>
        <w:pStyle w:val="06CREDITO"/>
        <w:ind w:left="7797" w:right="990"/>
        <w:jc w:val="right"/>
      </w:pPr>
      <w:r>
        <w:t>(continua)</w:t>
      </w:r>
    </w:p>
    <w:p w:rsidR="00774E74" w:rsidRDefault="009C6287"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6CREDITO"/>
        <w:ind w:left="7797" w:right="990"/>
        <w:jc w:val="right"/>
      </w:pPr>
      <w:r>
        <w:t>(continuação)</w:t>
      </w:r>
    </w:p>
    <w:tbl>
      <w:tblPr>
        <w:tblStyle w:val="Tabelacomgrade"/>
        <w:tblW w:w="8489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10"/>
        <w:gridCol w:w="6379"/>
      </w:tblGrid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774E74">
            <w:pPr>
              <w:pStyle w:val="04TEXTOTABELAS"/>
            </w:pP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- Produção de textos escritos, com mediação do professor/colegas.</w:t>
            </w:r>
          </w:p>
          <w:p w:rsidR="00774E74" w:rsidRDefault="009C6287">
            <w:pPr>
              <w:pStyle w:val="04TEXTOTABELAS"/>
            </w:pPr>
            <w:r>
              <w:t>- Conectores (</w:t>
            </w:r>
            <w:r>
              <w:rPr>
                <w:i/>
              </w:rPr>
              <w:t>linking words</w:t>
            </w:r>
            <w:r>
              <w:t>).</w:t>
            </w:r>
          </w:p>
          <w:p w:rsidR="00774E74" w:rsidRDefault="009C6287">
            <w:pPr>
              <w:pStyle w:val="04TEXTOTABELAS"/>
            </w:pPr>
            <w:r>
              <w:t>- Expansão da língua inglesa: contexto histórico.</w:t>
            </w:r>
          </w:p>
          <w:p w:rsidR="00774E74" w:rsidRDefault="009C6287">
            <w:pPr>
              <w:pStyle w:val="04TEXTOTABELAS"/>
            </w:pPr>
            <w:r>
              <w:t>- Construção de identidades no mundo globalizado.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Habilidades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EF09LI01</w:t>
            </w:r>
            <w:r>
              <w:t>) Fazer uso da língua inglesa para expor pontos de vista, argumentos e contra-argumentos, considerando o contexto e os recursos linguísticos voltados para a eficácia da comunicação.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EF09LI02</w:t>
            </w:r>
            <w:r>
              <w:t>) Compilar as ideias-chave de textos por meio de tomada de notas.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EF09LI03</w:t>
            </w:r>
            <w:r>
              <w:t>) Analisar posicionamentos defendidos e refutados em textos orais sobre temas de interesse social e coletivo.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EF09LI06</w:t>
            </w:r>
            <w:r>
              <w:t>) Distinguir fatos de opiniões em textos argumentativos da esfera jornalística.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EF09LI07</w:t>
            </w:r>
            <w:r>
              <w:t>) Identificar argumentos principais e as evidências/exemplos que os sustentam.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EF09LI08</w:t>
            </w:r>
            <w:r>
              <w:t>) Explorar ambientes virtuais de informação e socialização, analisando a qualidade e a validade das informações veiculadas.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EF09LI09</w:t>
            </w:r>
            <w:r>
              <w:t>) Compartilhar, com os colegas, a leitura dos textos escritos pelo grupo, valorizando os diferentes pontos de vista defendidos, com ética e respeito.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EF09LI10</w:t>
            </w:r>
            <w:r>
              <w:t>) Propor potenciais argumentos para expor e defender ponto de vista em texto escrito, refletindo sobre o tema proposto e pesquisando dados, evidências e exemplos para sustentar os argumentos, organizando-os em sequência lógica.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EF09LI12</w:t>
            </w:r>
            <w:r>
              <w:t xml:space="preserve">) Produzir textos (infográficos, fóruns de discussão </w:t>
            </w:r>
            <w:r>
              <w:rPr>
                <w:i/>
              </w:rPr>
              <w:t>on-line</w:t>
            </w:r>
            <w:r>
              <w:t xml:space="preserve">, fotorreportagens, campanhas publicitárias, </w:t>
            </w:r>
            <w:r>
              <w:rPr>
                <w:i/>
              </w:rPr>
              <w:t>memes</w:t>
            </w:r>
            <w:r>
              <w:t>, entre outros) sobre temas de interesse coletivo local ou global, que revelem posicionamento crítico.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EF09LI14</w:t>
            </w:r>
            <w:r>
              <w:t>) Utilizar conectores indicadores de adição, condição, oposição, contraste, conclusão e síntese como auxiliares na construção da argumentação e intencionalidade discursiva.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EF09LI17</w:t>
            </w:r>
            <w:r>
              <w:t>) Debater sobre a expansão da língua inglesa pelo mundo, em função do processo de colonização nas Américas, África, Ásia e Oceania.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EF09LI19</w:t>
            </w:r>
            <w:r>
              <w:t>) Discutir a comunicação intercultural por meio da língua inglesa como mecanismo de valorização pessoal e de construção de identidades no mundo globalizado.</w:t>
            </w:r>
          </w:p>
        </w:tc>
      </w:tr>
      <w:tr w:rsidR="00774E74">
        <w:tc>
          <w:tcPr>
            <w:tcW w:w="2110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Práticas pedagógicas</w:t>
            </w:r>
          </w:p>
        </w:tc>
        <w:tc>
          <w:tcPr>
            <w:tcW w:w="637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  <w:spacing w:line="240" w:lineRule="auto"/>
            </w:pPr>
            <w:r>
              <w:t>- Leitura e produção de um artigo de opinião.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>- Análise do uso de expressões para apresentar um ponto de vista, argumentar e contra-argumentar.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 xml:space="preserve">- Compreensão auditiva de um monólogo defendendo um posicionamento. 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 xml:space="preserve">- Análise do uso do </w:t>
            </w:r>
            <w:r>
              <w:rPr>
                <w:i/>
              </w:rPr>
              <w:t>present perfect</w:t>
            </w:r>
            <w:r>
              <w:t xml:space="preserve"> para exprimir ações iniciadas no passado e que se estendem ao presente.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 xml:space="preserve">- Análise do uso de </w:t>
            </w:r>
            <w:r>
              <w:rPr>
                <w:i/>
              </w:rPr>
              <w:t>since</w:t>
            </w:r>
            <w:r>
              <w:t xml:space="preserve"> e </w:t>
            </w:r>
            <w:r>
              <w:rPr>
                <w:i/>
              </w:rPr>
              <w:t>for</w:t>
            </w:r>
            <w:r>
              <w:t xml:space="preserve"> para exprimir tempo.</w:t>
            </w:r>
          </w:p>
          <w:p w:rsidR="00774E74" w:rsidRDefault="009C6287">
            <w:pPr>
              <w:pStyle w:val="04TEXTOTABELAS"/>
            </w:pPr>
            <w:r>
              <w:t>- Discussões e reflexões sobre a interconexão entre situações locais e globais, em especial no campo das línguas, e sobre os pontos positivos e negativos da globalização, com enfoque em aspectos culturais.</w:t>
            </w:r>
          </w:p>
        </w:tc>
      </w:tr>
    </w:tbl>
    <w:p w:rsidR="00774E74" w:rsidRDefault="009C6287">
      <w:r>
        <w:br w:type="page"/>
      </w:r>
    </w:p>
    <w:p w:rsidR="00774E74" w:rsidRDefault="00774E74"/>
    <w:tbl>
      <w:tblPr>
        <w:tblStyle w:val="Tabelacomgrade"/>
        <w:tblW w:w="8290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51"/>
        <w:gridCol w:w="6039"/>
      </w:tblGrid>
      <w:tr w:rsidR="00774E74">
        <w:tc>
          <w:tcPr>
            <w:tcW w:w="8289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774E74" w:rsidRDefault="009C6287">
            <w:pPr>
              <w:pStyle w:val="03TITULOTABELAS2"/>
              <w:rPr>
                <w:i/>
              </w:rPr>
            </w:pPr>
            <w:r>
              <w:rPr>
                <w:i/>
              </w:rPr>
              <w:t>Unit 6: Consumerism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Eixos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Oralidade, leitura, escrita, conhecimentos linguísticos.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Tema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Consumismo, com foco na publicidade.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Objetivos específicos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 xml:space="preserve">- Compreender diferentes formas de pagar por algum produto ou serviço. </w:t>
            </w:r>
          </w:p>
          <w:p w:rsidR="00774E74" w:rsidRDefault="009C6287">
            <w:pPr>
              <w:pStyle w:val="04TEXTOTABELAS"/>
            </w:pPr>
            <w:r>
              <w:t>- Compreender diferentes formas de veiculação de propaganda.</w:t>
            </w:r>
          </w:p>
          <w:p w:rsidR="00774E74" w:rsidRDefault="009C6287">
            <w:pPr>
              <w:pStyle w:val="04TEXTOTABELAS"/>
            </w:pPr>
            <w:r>
              <w:t>- Compreender e produzir um anúncio publicitário.</w:t>
            </w:r>
          </w:p>
          <w:p w:rsidR="00774E74" w:rsidRDefault="009C6287">
            <w:pPr>
              <w:pStyle w:val="04TEXTOTABELAS"/>
            </w:pPr>
            <w:r>
              <w:t xml:space="preserve">- Compreender o uso do </w:t>
            </w:r>
            <w:r>
              <w:rPr>
                <w:i/>
              </w:rPr>
              <w:t>present perfect</w:t>
            </w:r>
            <w:r>
              <w:t xml:space="preserve"> com os advérbios de tempo </w:t>
            </w:r>
            <w:r>
              <w:rPr>
                <w:i/>
              </w:rPr>
              <w:t>ever, already</w:t>
            </w:r>
            <w:r>
              <w:t xml:space="preserve"> e </w:t>
            </w:r>
            <w:r>
              <w:rPr>
                <w:i/>
              </w:rPr>
              <w:t>yet.</w:t>
            </w:r>
          </w:p>
          <w:p w:rsidR="00774E74" w:rsidRDefault="009C6287">
            <w:pPr>
              <w:pStyle w:val="04TEXTOTABELAS"/>
            </w:pPr>
            <w:r>
              <w:t>- Compreender um texto oral sobre a história do consumismo.</w:t>
            </w:r>
          </w:p>
          <w:p w:rsidR="00774E74" w:rsidRDefault="009C6287">
            <w:pPr>
              <w:pStyle w:val="04TEXTOTABELAS"/>
            </w:pPr>
            <w:r>
              <w:t>- Produzir um comercial de rádio.</w:t>
            </w:r>
          </w:p>
          <w:p w:rsidR="00774E74" w:rsidRDefault="009C6287">
            <w:pPr>
              <w:pStyle w:val="04TEXTOTABELAS"/>
            </w:pPr>
            <w:r>
              <w:t>- Refletir sobre consumismo e o discurso publicitário.</w:t>
            </w:r>
            <w:r>
              <w:rPr>
                <w:highlight w:val="yellow"/>
              </w:rPr>
              <w:t xml:space="preserve"> 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Objetos de conhecimento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- Funções e usos da língua inglesa: persuasão.</w:t>
            </w:r>
          </w:p>
          <w:p w:rsidR="00774E74" w:rsidRDefault="009C6287">
            <w:pPr>
              <w:pStyle w:val="04TEXTOTABELAS"/>
            </w:pPr>
            <w:r>
              <w:t>- Compreensão de textos orais, multimodais, de cunho argumentativo.</w:t>
            </w:r>
          </w:p>
          <w:p w:rsidR="00774E74" w:rsidRDefault="009C6287">
            <w:pPr>
              <w:pStyle w:val="04TEXTOTABELAS"/>
            </w:pPr>
            <w:r>
              <w:t>- Recursos de persuasão.</w:t>
            </w:r>
          </w:p>
          <w:p w:rsidR="00774E74" w:rsidRDefault="009C6287">
            <w:pPr>
              <w:pStyle w:val="04TEXTOTABELAS"/>
            </w:pPr>
            <w:r>
              <w:t>- Reflexão pós-leitura.</w:t>
            </w:r>
          </w:p>
          <w:p w:rsidR="00774E74" w:rsidRDefault="009C6287">
            <w:pPr>
              <w:pStyle w:val="04TEXTOTABELAS"/>
              <w:rPr>
                <w:color w:val="000000"/>
              </w:rPr>
            </w:pPr>
            <w:r>
              <w:t>- Escrita: construção da persuasão.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Habilidades</w:t>
            </w: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EF09LI01</w:t>
            </w:r>
            <w:r>
              <w:t>) Fazer uso da língua inglesa para expor pontos de vista, argumentos e contra-argumentos, considerando o contexto e os recursos linguísticos voltados para a eficácia da comunicação.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EF09LI03</w:t>
            </w:r>
            <w:r>
              <w:t>) Analisar posicionamentos defendidos e refutados em textos orais sobre temas de interesse social e coletivo.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EF09LI05</w:t>
            </w:r>
            <w:r>
              <w:t>) Identificar recursos de persuasão (escolha e jogo de palavras, uso de cores e imagens, tamanho de letras), utilizados nos textos publicitários e de propaganda, como elementos de convencimento.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EF09LI09</w:t>
            </w:r>
            <w:r>
              <w:t>) Compartilhar, com os colegas, a leitura dos textos escritos pelo grupo, valorizando os diferentes pontos de vista defendidos, com ética e respeito.</w:t>
            </w:r>
          </w:p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EF09LI11</w:t>
            </w:r>
            <w:r>
              <w:t>) Utilizar recursos verbais e não verbais para construção da persuasão em textos da esfera publicitária, de forma adequada ao contexto de circulação (produção e compreensão).</w:t>
            </w:r>
          </w:p>
        </w:tc>
      </w:tr>
      <w:tr w:rsidR="00774E74">
        <w:tc>
          <w:tcPr>
            <w:tcW w:w="2251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  <w:spacing w:line="240" w:lineRule="auto"/>
            </w:pPr>
            <w:r>
              <w:t>Práticas pedagógicas</w:t>
            </w:r>
          </w:p>
          <w:p w:rsidR="00774E74" w:rsidRDefault="00774E74">
            <w:pPr>
              <w:pStyle w:val="04TEXTOTABELAS"/>
            </w:pPr>
          </w:p>
        </w:tc>
        <w:tc>
          <w:tcPr>
            <w:tcW w:w="6038" w:type="dxa"/>
            <w:shd w:val="clear" w:color="auto" w:fill="auto"/>
            <w:tcMar>
              <w:left w:w="103" w:type="dxa"/>
            </w:tcMar>
          </w:tcPr>
          <w:p w:rsidR="00774E74" w:rsidRDefault="009C6287">
            <w:pPr>
              <w:pStyle w:val="04TEXTOTABELAS"/>
              <w:spacing w:line="240" w:lineRule="auto"/>
            </w:pPr>
            <w:r>
              <w:t xml:space="preserve">- Leitura e produção de um anúncio publicitário. 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>- Compreensão oral sobre a história do consumismo.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>- Produção de um comercial de rádio.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 xml:space="preserve">- Atividades com o uso do </w:t>
            </w:r>
            <w:r>
              <w:rPr>
                <w:i/>
              </w:rPr>
              <w:t>present perfect</w:t>
            </w:r>
            <w:r>
              <w:t xml:space="preserve"> com os advérbios de tempo </w:t>
            </w:r>
            <w:r>
              <w:rPr>
                <w:i/>
              </w:rPr>
              <w:t>ever, already</w:t>
            </w:r>
            <w:r>
              <w:t xml:space="preserve"> e </w:t>
            </w:r>
            <w:r>
              <w:rPr>
                <w:i/>
              </w:rPr>
              <w:t>yet.</w:t>
            </w:r>
          </w:p>
          <w:p w:rsidR="00774E74" w:rsidRDefault="009C6287">
            <w:pPr>
              <w:pStyle w:val="04TEXTOTABELAS"/>
              <w:spacing w:line="240" w:lineRule="auto"/>
            </w:pPr>
            <w:r>
              <w:t>- Atividades de vocabulário relacionado a palavras utilizadas para falar de tipos de mídia de propaganda e de dinheiro.</w:t>
            </w:r>
          </w:p>
          <w:p w:rsidR="00774E74" w:rsidRDefault="009C6287">
            <w:pPr>
              <w:pStyle w:val="04TEXTOTABELAS"/>
              <w:rPr>
                <w:b/>
              </w:rPr>
            </w:pPr>
            <w:r>
              <w:t>- Reflexão sobre consumismo e o discurso publicitário.</w:t>
            </w:r>
          </w:p>
        </w:tc>
      </w:tr>
    </w:tbl>
    <w:p w:rsidR="00774E74" w:rsidRDefault="009C6287">
      <w:r>
        <w:br w:type="page"/>
      </w:r>
    </w:p>
    <w:p w:rsidR="00774E74" w:rsidRDefault="00774E74"/>
    <w:p w:rsidR="00774E74" w:rsidRDefault="009C6287">
      <w:pPr>
        <w:pStyle w:val="01TITULO3"/>
      </w:pPr>
      <w:r>
        <w:t>3. Práticas recorrentes</w:t>
      </w:r>
    </w:p>
    <w:p w:rsidR="00774E74" w:rsidRDefault="009C6287">
      <w:pPr>
        <w:pStyle w:val="02TEXTOPRINCIPAL"/>
      </w:pPr>
      <w:r>
        <w:t xml:space="preserve">Nesta coleção, os/as estudantes são convidados/as a práticas variadas que auxiliam no avanço do desenvolvimento das habilidades e competências necessárias para a aprendizagem da língua-alvo. As atividades orais, de compreensão auditiva, de leitura e interpretação de textos, de escrita e de prática investigativa podem ser realizadas de forma individual, bem como em duplas e em grupos, visando promover o desenvolvimento ético e cognitivo dos/as estudantes. </w:t>
      </w:r>
    </w:p>
    <w:p w:rsidR="00774E74" w:rsidRDefault="009C6287">
      <w:pPr>
        <w:pStyle w:val="02TEXTOPRINCIPAL"/>
      </w:pPr>
      <w:r>
        <w:t>A leitura de imagens permite aos/às estudantes que vivenciem um processo perceptivo da linguagem visual, desenvolvendo-a para que sua comunicação seja mais ampla. As atividades desafiadoras dão aos/às estudantes ferramentas para ressignificar as práticas de linguagem escrita ou verbal e as atividades de desenvolvimento do pensamento crítico estimulam a reflexão e a consciência do ideal e do real, do que é visto e do que é realizado.</w:t>
      </w:r>
    </w:p>
    <w:p w:rsidR="00774E74" w:rsidRDefault="009C6287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Atividades em duplas e em grupos</w:t>
      </w:r>
    </w:p>
    <w:p w:rsidR="00774E74" w:rsidRDefault="009C6287">
      <w:pPr>
        <w:pStyle w:val="02TEXTOPRINCIPAL"/>
        <w:spacing w:before="0" w:line="240" w:lineRule="auto"/>
      </w:pPr>
      <w:r>
        <w:t>As atividades em duplas e em grupos possibilitam uma interação estudante-estudante, colaborando para a construção de laços afetivos e convívio social. O trabalho nesse formato garante um relacionamento cooperativo e construtivo entre eles/elas, que podem desenvolver competências como comparar, negociar, confirmar, questionar e colaborar.</w:t>
      </w:r>
    </w:p>
    <w:p w:rsidR="00774E74" w:rsidRDefault="009C6287">
      <w:pPr>
        <w:pStyle w:val="02TEXTOPRINCIPAL"/>
      </w:pPr>
      <w:r>
        <w:t xml:space="preserve">Antes das atividades em duplas e em grupos, definir regras para que a turma possa fazer um trabalho de qualidade de forma respeitosa. É importante que os/as estudantes sigam as orientações de trabalho preestabelecidas, que garantirão o bom andamento de todos os processos. </w:t>
      </w:r>
      <w:r>
        <w:rPr>
          <w:rFonts w:eastAsia="Calibri"/>
        </w:rPr>
        <w:t xml:space="preserve">Um exemplo desse tipo de atividade é a que propõe que eles/elas discutam sobre alguns tipos de mídia de propaganda, trabalhando aspectos da habilidade </w:t>
      </w:r>
      <w:r>
        <w:rPr>
          <w:b/>
          <w:bCs/>
        </w:rPr>
        <w:t>EF09LI01</w:t>
      </w:r>
      <w:r>
        <w:rPr>
          <w:bCs/>
        </w:rPr>
        <w:t>.</w:t>
      </w:r>
    </w:p>
    <w:p w:rsidR="00774E74" w:rsidRDefault="00774E74">
      <w:pPr>
        <w:pStyle w:val="01TITULO4"/>
      </w:pPr>
    </w:p>
    <w:p w:rsidR="00774E74" w:rsidRDefault="009C6287">
      <w:pPr>
        <w:pStyle w:val="01TITULO4"/>
      </w:pPr>
      <w:r>
        <w:t>Atividades orais</w:t>
      </w:r>
    </w:p>
    <w:p w:rsidR="00774E74" w:rsidRDefault="009C6287">
      <w:pPr>
        <w:pStyle w:val="02TEXTOPRINCIPAL"/>
        <w:spacing w:before="0"/>
      </w:pPr>
      <w:r>
        <w:t>A interação oral é uma das atividades comunicativas de sala de aula que mais se aproxima do contexto real dos/as estudantes, mas é, ao mesmo tempo, a que mais costuma gerar dificuldades. Esse processo é bidirecional, uma vez que os/as estudantes são, ao mesmo tempo, falantes e ouvintes e devem, basicamente, negociar o sentido e construir o significado da fala para adequá-la ao contexto em que atuam.</w:t>
      </w:r>
    </w:p>
    <w:p w:rsidR="00774E74" w:rsidRDefault="009C6287">
      <w:pPr>
        <w:pStyle w:val="02TEXTOPRINCIPAL"/>
      </w:pPr>
      <w:r>
        <w:t>Durante as atividades orais, é importante orientá-los/as a seguir as etapas que antecedem a produção (</w:t>
      </w:r>
      <w:r>
        <w:rPr>
          <w:i/>
        </w:rPr>
        <w:t>pre-speaking</w:t>
      </w:r>
      <w:r>
        <w:t xml:space="preserve">), assim como a observar atentamente os detalhes demandados. </w:t>
      </w:r>
    </w:p>
    <w:p w:rsidR="00774E74" w:rsidRDefault="009C6287">
      <w:pPr>
        <w:pStyle w:val="02TEXTOPRINCIPAL"/>
      </w:pPr>
      <w:r>
        <w:t>Procurar falar em língua inglesa com a turma sempre que possível, ensinando expressões de uso cotidiano e retomando objetos de conhecimento já trabalhados. Esse tipo de prática, a médio e longo prazos, pode fazer que os/as estudantes se sintam mais confortáveis em situações de oralidade, com o aumento da frequência de exposição à língua falada. Sugere-se ter cuidado para que não se sintam expostos/as ou repreendidos/as caso desejem usar a língua materna em determinadas situações, mas é importante incentivá-los/as a se expressar no idioma-alvo tanto quanto puderem.</w:t>
      </w:r>
    </w:p>
    <w:p w:rsidR="00774E74" w:rsidRDefault="009C6287">
      <w:pPr>
        <w:pStyle w:val="02TEXTOPRINCIPAL"/>
      </w:pPr>
      <w:r>
        <w:t xml:space="preserve">Atividades orais são estimuladas constantemente na coleção, tanto para a produção de gêneros quanto na interação entre os/as colegas de forma espontânea. Neste bimestre, podemos exemplificar a atividade que pede aos/às estudantes que preparem um comercial de rádio, trabalhando aspectos da habilidade </w:t>
      </w:r>
      <w:r>
        <w:rPr>
          <w:b/>
        </w:rPr>
        <w:t>EF09LI11</w:t>
      </w:r>
      <w:r>
        <w:t>, aqui adaptada para nortear o trabalho de produção oral.</w:t>
      </w:r>
    </w:p>
    <w:p w:rsidR="00774E74" w:rsidRDefault="009C6287"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Compreensão auditiva</w:t>
      </w:r>
    </w:p>
    <w:p w:rsidR="00774E74" w:rsidRDefault="009C6287">
      <w:pPr>
        <w:pStyle w:val="02TEXTOPRINCIPAL"/>
        <w:spacing w:before="0" w:line="240" w:lineRule="auto"/>
      </w:pPr>
      <w:r>
        <w:t xml:space="preserve">A compreensão auditiva é um “processo complexo no qual o ouvinte deve discriminar os sons, compreender vocabulário e estruturas gramaticais, interpretar </w:t>
      </w:r>
      <w:r>
        <w:rPr>
          <w:i/>
        </w:rPr>
        <w:t>stress</w:t>
      </w:r>
      <w:r>
        <w:t xml:space="preserve"> e entonação, reter o que foi coletado de tudo até então e interpretar tudo isso no contexto imediato e sociocultural da fala” (VANDERGRIFT, 1999). Atividades de compreensão auditiva são importantes para que os/as estudantes possam trabalhar estratégias apropriadas e desenvolver maior familiaridade com a língua estrangeira estudada.</w:t>
      </w:r>
    </w:p>
    <w:p w:rsidR="00774E74" w:rsidRDefault="009C6287">
      <w:pPr>
        <w:pStyle w:val="02TEXTOPRINCIPAL"/>
        <w:spacing w:before="0" w:line="240" w:lineRule="auto"/>
      </w:pPr>
      <w:r>
        <w:t>É importante explicar aos/às estudantes que não compreenderão tudo na primeira audição e que rotineiramente as faixas de áudio serão executadas mais vezes. Para tranquilizá-los/as, sugere-se dar pistas sobre o vocabulário em questão, fazer perguntas mais específicas e pedir que foquem palavras-chave na gravação.</w:t>
      </w:r>
    </w:p>
    <w:p w:rsidR="00774E74" w:rsidRDefault="009C6287">
      <w:pPr>
        <w:pStyle w:val="02TEXTOPRINCIPAL"/>
      </w:pPr>
      <w:r>
        <w:t>Um exemplo de atividade de compreensão auditiva deste bimestre é a que propõe aos/às estudantes que ouçam um monólogo sobre os maiores desafios que o mundo enfrenta no momento e anotem as palavras-</w:t>
      </w:r>
      <w:r>
        <w:br/>
        <w:t xml:space="preserve">-chave para completar um mapa conceitual, trabalhando aspectos da habilidade </w:t>
      </w:r>
      <w:r>
        <w:rPr>
          <w:b/>
        </w:rPr>
        <w:t>EF09LI02</w:t>
      </w:r>
      <w:r>
        <w:t>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 xml:space="preserve">Análise de textos verbais, visuais e verbo-visuais </w:t>
      </w:r>
    </w:p>
    <w:p w:rsidR="00774E74" w:rsidRDefault="009C6287">
      <w:pPr>
        <w:pStyle w:val="02TEXTOPRINCIPAL"/>
        <w:spacing w:before="0"/>
      </w:pPr>
      <w:r>
        <w:t>A leitura e a interpretação de textos verbais, visuais e verbo-visuais fazem parte do cotidiano de qualquer indivíduo e permitem um raciocínio mais crítico e mais reflexivo do/a leitor/a mediante os gêneros que o/a circundam. Para reagir a uma mensagem é necessário entendê-la e interpretá-la, e ser capaz de fazê-lo garante um pensamento mais analítico e objetivo.</w:t>
      </w:r>
    </w:p>
    <w:p w:rsidR="00774E74" w:rsidRDefault="009C6287">
      <w:pPr>
        <w:pStyle w:val="02TEXTOPRINCIPAL"/>
      </w:pPr>
      <w:r>
        <w:t xml:space="preserve">Do mesmo modo, a leitura de imagens permite aos/às estudantes que vivenciem um processo perceptivo da linguagem visual, desenvolvendo-a para que sua comunicação seja mais ampla. Essa conexão com o mundo visual não necessariamente atrelado ao contexto escrito favorece os/as estudantes na interpretação, na análise, no diálogo com saberes prévios e na construção de sentido para textos multimodais. Segundo Sardelich (2006), “na medida em que a imagem passa a ser compreendida como signo que incorpora diversos códigos, sua leitura requer o conhecimento e a compreensão desses códigos”. </w:t>
      </w:r>
    </w:p>
    <w:p w:rsidR="00774E74" w:rsidRDefault="009C6287">
      <w:pPr>
        <w:pStyle w:val="02TEXTOPRINCIPAL"/>
      </w:pPr>
      <w:r>
        <w:t xml:space="preserve">Para a leitura de imagens, é importante que os/as estudantes observem atentamente os detalhes. Perguntas sobre a estética da imagem, dos elementos que a compõem e das informações que ela fornece podem ser valiosas para explorar os recursos expressados imageticamente. Conhecer a fonte de uma imagem e o responsável pela produção e pela divulgação dela, em alguns casos, pode ser muito valioso para sua compreensão. Podemos exemplificar esses textos com as páginas de abertura de cada unidade, que levam os/as estudantes a contextualizar o que será visto e já começar a fazer relações com o tema a ser desenvolvido, trabalhando aspectos da habilidade </w:t>
      </w:r>
      <w:r>
        <w:rPr>
          <w:b/>
        </w:rPr>
        <w:t>EF09LI01</w:t>
      </w:r>
      <w:r>
        <w:t>.</w:t>
      </w:r>
    </w:p>
    <w:p w:rsidR="00774E74" w:rsidRDefault="009C6287">
      <w:pPr>
        <w:pStyle w:val="02TEXTOPRINCIPAL"/>
      </w:pPr>
      <w:r>
        <w:t xml:space="preserve">Ao longo dos processos de leitura, conscientizar os/as estudantes de que as estratégias de </w:t>
      </w:r>
      <w:r>
        <w:rPr>
          <w:i/>
        </w:rPr>
        <w:t>skimming</w:t>
      </w:r>
      <w:r>
        <w:t xml:space="preserve"> (detecção do assunto geral de um texto observando-se alguns elementos-chave) e </w:t>
      </w:r>
      <w:r>
        <w:rPr>
          <w:i/>
        </w:rPr>
        <w:t>scanning</w:t>
      </w:r>
      <w:r>
        <w:t xml:space="preserve"> (localização de informações específicas no texto a partir de uma leitura rápida) podem auxiliá-los/as na compreensão. Sugere-se que as etapas de pré-leitura sejam conduzidas a uma melhor contextualização do assunto a ser lido. Podem ser realizadas leituras individuais silenciosas, em voz alta para os/as colegas, alternando os/as leitores/leitoras, ou mesmo de forma uníssona com toda a turma. Neste bimestre, podemos exemplificar a atividade que solicita aos/às estudantes que observem alguns anúncios e que identifiquem e comparem suas características, trabalhando aspectos da habilidade </w:t>
      </w:r>
      <w:r>
        <w:rPr>
          <w:b/>
        </w:rPr>
        <w:t>EF09LI05</w:t>
      </w:r>
      <w:r>
        <w:t>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Produção textual</w:t>
      </w:r>
    </w:p>
    <w:p w:rsidR="00774E74" w:rsidRDefault="009C6287">
      <w:pPr>
        <w:pStyle w:val="02TEXTOPRINCIPAL"/>
        <w:spacing w:before="0" w:line="240" w:lineRule="auto"/>
      </w:pPr>
      <w:r>
        <w:t xml:space="preserve">A produção textual é uma das práticas sociais de linguagem e está intimamente atrelada à leitura. Ao produzir um texto, os/as estudantes se expressam para diferentes interlocutores, com diferentes finalidades e em diferentes espaços sociais. Isso os/as leva a exercer uma participação cidadã em esferas formais e informais. </w:t>
      </w:r>
    </w:p>
    <w:p w:rsidR="00774E74" w:rsidRDefault="009C6287">
      <w:pPr>
        <w:pStyle w:val="02TEXTOPRINCIPAL"/>
      </w:pPr>
      <w:r>
        <w:t xml:space="preserve">As etapas da produção escrita favorecem o alinhamento das ideias e a reformulação delas para um avanço na produção e na competência dos/as estudantes. Estimular esse processo em atividades como a que pede aos/às estudantes que produzam um artigo de opinião sobre um desafio global que esteja em debate na sua comunidade, compartilhando-o com outros colegas, para que possam comentar e sugerir melhorias, trabalhando aspectos das habilidades </w:t>
      </w:r>
      <w:r>
        <w:rPr>
          <w:b/>
        </w:rPr>
        <w:t xml:space="preserve">EF09LI10 e EF09LI12. </w:t>
      </w:r>
      <w:r>
        <w:t xml:space="preserve">Auxiliá-los/as em cada etapa e dar </w:t>
      </w:r>
      <w:r>
        <w:rPr>
          <w:i/>
        </w:rPr>
        <w:t>feedback</w:t>
      </w:r>
      <w:r>
        <w:t xml:space="preserve"> significativo para que a escrita possa ser bem-sucedida.</w:t>
      </w:r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Atividades de pesquisa</w:t>
      </w:r>
    </w:p>
    <w:p w:rsidR="00774E74" w:rsidRDefault="009C6287">
      <w:pPr>
        <w:pStyle w:val="02TEXTOPRINCIPAL"/>
        <w:spacing w:before="0" w:line="240" w:lineRule="auto"/>
      </w:pPr>
      <w:r>
        <w:t>As atividades de pesquisa estimulam a curiosidade, a criatividade e a busca metodológica pelas informações que levarão os/as estudantes a deduzir, organizar as ideias e realizar descobertas que irão expandir seus conhecimentos. Elas permitem a construção da autonomia na formação crítica e no progresso intelectual do indivíduo.</w:t>
      </w:r>
    </w:p>
    <w:p w:rsidR="00774E74" w:rsidRDefault="009C6287">
      <w:pPr>
        <w:pStyle w:val="02TEXTOPRINCIPAL"/>
        <w:spacing w:before="0" w:line="240" w:lineRule="auto"/>
      </w:pPr>
      <w:r>
        <w:t>Diferentes materiais e recursos podem ser usados nas atividades de pesquisa. A biblioteca e o laboratório de informática da escola são ricas fontes de busca e de descoberta de informações, desde que haja o devido cuidado com o critério para consulta em fontes confiáveis e a citação de suas fontes, para não incorrer em plágio. Em atividades de pesquisas como lição de casa, orientar os/as estudantes a buscar a ajuda dos pais ou responsáveis.</w:t>
      </w:r>
    </w:p>
    <w:p w:rsidR="00774E74" w:rsidRDefault="009C6287">
      <w:pPr>
        <w:pStyle w:val="02TEXTOPRINCIPAL"/>
      </w:pPr>
      <w:r>
        <w:t xml:space="preserve">Atividades de pesquisa são uma constante em toda a coleção. Neste volume, podemos exemplificar o boxe </w:t>
      </w:r>
      <w:r>
        <w:rPr>
          <w:i/>
          <w:iCs/>
        </w:rPr>
        <w:t>Going further</w:t>
      </w:r>
      <w:r>
        <w:t xml:space="preserve">, que demanda que os/as estudantes investiguem um pouco mais um item específico que tem relação direta com o tema da unidade e que amplia o repertório deles/delas, trabalhando aspectos de habilidades como a </w:t>
      </w:r>
      <w:r>
        <w:rPr>
          <w:b/>
        </w:rPr>
        <w:t>EF09LI04</w:t>
      </w:r>
      <w:r>
        <w:t>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Atividades de revisão</w:t>
      </w:r>
    </w:p>
    <w:p w:rsidR="00774E74" w:rsidRDefault="009C6287">
      <w:pPr>
        <w:pStyle w:val="02TEXTOPRINCIPAL"/>
        <w:spacing w:before="0" w:line="240" w:lineRule="auto"/>
      </w:pPr>
      <w:r>
        <w:t>Atividades de revisão permitem a retomada do conteúdo trabalhado, com associações ao que foi apresentado, em um contínuo de processamento, organização e ampliação de informações. Elas permitem a verificação do que ainda precisa ser aprofundado e funcionam como uma avaliação formativa e reflexiva para os/as estudantes.</w:t>
      </w:r>
    </w:p>
    <w:p w:rsidR="00774E74" w:rsidRDefault="009C6287">
      <w:pPr>
        <w:pStyle w:val="02TEXTOPRINCIPAL"/>
      </w:pPr>
      <w:r>
        <w:t>As atividades de revisão podem ser feitas em casa ou em sala de aula, mas, em qualquer caso, a correção comentada e o cuidado com as dificuldades que ainda existam devem ser levados em consideração e as dúvidas devem ser sanadas. A revisão também pode ser considerada uma avaliação formativa no que diz respeito a objetos de natureza gramatical e lexical. Podemos exemplificar esse tipo de atividade tomando como base as revisões que finalizam as unidades de forma a recapitular o conteúdo trabalhado, enfatizando aspectos das habilidades que compõem os eixos de leitura, escrita e conhecimentos linguísticos/gramaticais.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Atividades de desenvolvimento de pensamento crítico</w:t>
      </w:r>
    </w:p>
    <w:p w:rsidR="00774E74" w:rsidRDefault="009C6287">
      <w:pPr>
        <w:pStyle w:val="02TEXTOPRINCIPAL"/>
        <w:spacing w:before="0" w:line="240" w:lineRule="auto"/>
      </w:pPr>
      <w:r>
        <w:t>O cultivo do hábito da reflexão e do exercício do pensamento na realização de julgamentos relevantes é um dos maiores objetivos da educação. Isso promove o desenvolvimento do pensamento crítico, que, segundo Mayer e Goodchild (1990), é uma tentativa ativa e sistemática de compreender e avaliar argumentos. Segundo esses autores, é importante que os/as estudantes saibam realizar inferências, reconhecer crenças e suposições, deduzir, interpretar fatos e ações e avaliar argumentos.</w:t>
      </w:r>
    </w:p>
    <w:p w:rsidR="00774E74" w:rsidRDefault="009C6287">
      <w:pPr>
        <w:pStyle w:val="02TEXTOPRINCIPAL"/>
        <w:spacing w:before="0" w:line="240" w:lineRule="auto"/>
      </w:pPr>
      <w:r>
        <w:t>Sugere-se criar oportunidades para que os/as estudantes possam avaliar dados que encontram no livro, reconhecer suposições implícitas em uma dada afirmativa, relacionar as implicações entre as teorias, pesar evidências sobre os fatos e distinguir os argumentos fortes dos fracos. Tudo isso pode ser estimulado por meio de perguntas feitas durante as aulas e de discussões realizadas entre eles/elas, se possível baseadas em exemplos da sua realidade, de modo a contribuir para a sua formação como cidadãos/cidadãs.</w:t>
      </w:r>
    </w:p>
    <w:p w:rsidR="00774E74" w:rsidRDefault="009C6287">
      <w:pPr>
        <w:pStyle w:val="02TEXTOPRINCIPAL"/>
        <w:spacing w:before="0" w:line="240" w:lineRule="auto"/>
      </w:pPr>
      <w:r>
        <w:t xml:space="preserve">Atividades como as do boxe </w:t>
      </w:r>
      <w:r>
        <w:rPr>
          <w:i/>
        </w:rPr>
        <w:t>Agents of change</w:t>
      </w:r>
      <w:r>
        <w:t xml:space="preserve"> estimulam o pensamento crítico e levam os/as estudantes a refletir sobre diferenças e igualdades e os/as incitam a pensar sobre questões sociais e cidadãs do seu entorno e em como reagem diante delas, trabalhando aspectos da habilidade </w:t>
      </w:r>
      <w:r>
        <w:rPr>
          <w:b/>
        </w:rPr>
        <w:t>EF09LI01</w:t>
      </w:r>
      <w:r>
        <w:t>.</w:t>
      </w:r>
    </w:p>
    <w:p w:rsidR="00774E74" w:rsidRDefault="009C6287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774E74" w:rsidRDefault="009C6287"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1TITULO4"/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4. Gestão da sala de aula </w:t>
      </w:r>
    </w:p>
    <w:p w:rsidR="00774E74" w:rsidRDefault="009C6287">
      <w:pPr>
        <w:pStyle w:val="02TEXTOPRINCIPAL"/>
        <w:spacing w:before="0" w:line="240" w:lineRule="auto"/>
      </w:pPr>
      <w:r>
        <w:t>“Partindo do pressuposto de que o ato de ensinar deva ser compreendido de forma contextualizada, no tempo e no espaço, entende-se que o espaço privilegiado para isso é a sala de aula e que o tempo disponível é o da própria aula” (SILVA et al., 2015). Esse espaço e esse tempo, no entanto, demandam uma gestão própria, que auxilie os/as estudantes em seu desenvolvimento e permita ao/à professor/a que estabeleça uma rotina, trabalhe práticas ricas e estimulantes e cumpra a proposta curricular demandada para o ano letivo. A proposta, aqui, é sugerir ideias que possam ser aproveitadas pelo/a docente para que essa gestão seja mais prazerosa e proveitosa.</w:t>
      </w:r>
    </w:p>
    <w:p w:rsidR="00774E74" w:rsidRDefault="009C6287">
      <w:pPr>
        <w:pStyle w:val="02TEXTOPRINCIPAL"/>
        <w:spacing w:before="0" w:line="240" w:lineRule="auto"/>
      </w:pPr>
      <w:r>
        <w:t xml:space="preserve">Segundo Erling (2005), o inglês “não está mais ligado a um lugar, a uma cultura ou a um povo” (p. 42), uma vez que a cada dia está mais presente em contextos variados e é usado por pessoas de diferentes nacionalidades. A autora sugere que a transição demográfica seja a principal causa para que o discurso sobre a língua inglesa seja percebido de forma diferente: de língua estrangeira a língua franca. </w:t>
      </w:r>
    </w:p>
    <w:p w:rsidR="00774E74" w:rsidRDefault="009C6287">
      <w:pPr>
        <w:pStyle w:val="02TEXTOPRINCIPAL"/>
        <w:spacing w:before="0" w:line="240" w:lineRule="auto"/>
      </w:pPr>
      <w:r>
        <w:t xml:space="preserve">Língua franca, segundo a Unesco (1953, p. 46), é “[a] língua que é usada habitualmente por pessoas cujas línguas maternas são diferentes, de modo a facilitar a comunicação entre eles” (ROSA, 2016). A autora afirma que, embora outras definições possam existir, essa é a que possui um significado mais abrangente. </w:t>
      </w:r>
    </w:p>
    <w:p w:rsidR="00774E74" w:rsidRDefault="009C6287">
      <w:pPr>
        <w:pStyle w:val="02TEXTOPRINCIPAL"/>
        <w:spacing w:before="0" w:line="240" w:lineRule="auto"/>
      </w:pPr>
      <w:r>
        <w:t xml:space="preserve">El Kadri (2010) explica que essa </w:t>
      </w:r>
      <w:r>
        <w:rPr>
          <w:b/>
        </w:rPr>
        <w:t>visão da língua inglesa como língua franca</w:t>
      </w:r>
      <w:r>
        <w:t xml:space="preserve">, e não como estrangeira, muda sua visão na educação, uma vez que a ideia do/a falante nativo/a se desconstrói e o ensino das variantes linguísticas e da cultura passa a ser descentralizado. O/A nativo/a imperfeito/a não existe mais e a perspectiva da língua inglesa como língua franca supera os limites da territorialização geográfica ou linguística. </w:t>
      </w:r>
    </w:p>
    <w:p w:rsidR="00774E74" w:rsidRDefault="009C6287">
      <w:pPr>
        <w:pStyle w:val="02TEXTOPRINCIPAL"/>
        <w:spacing w:before="0" w:line="240" w:lineRule="auto"/>
      </w:pPr>
      <w:r>
        <w:t xml:space="preserve">Essa visão implica, diretamente, o </w:t>
      </w:r>
      <w:r>
        <w:rPr>
          <w:b/>
        </w:rPr>
        <w:t>papel do/a educador/a</w:t>
      </w:r>
      <w:r>
        <w:t xml:space="preserve">, que orienta seus/suas estudantes na aprendizagem da língua sem se ater, especificamente, a questões antes imperiosas, como a pronúncia perfeita e a adequação rígida da língua a um padrão de fala. Apontar as variantes, conhecê-las e poder analisar criticamente o que cada uma implica é uma forma reflexiva de aprendizagem de uma língua adicional. Isso permite o trabalho constante das habilidades que compõem o eixo dimensão intercultural relacionadas à língua inglesa no mundo e a como seus elementos e produtos são absorvidos pela sociedade brasileira. Além disso, esse/essa educador/a orquestra as interações em sala de aula, atua como mentor/a dos/as estudantes e evolui por meio da educação continuada para ter subsídios teóricos adequados que o/a ajudam a tomar decisões práticas acertadas. </w:t>
      </w:r>
    </w:p>
    <w:p w:rsidR="00774E74" w:rsidRDefault="009C6287">
      <w:pPr>
        <w:pStyle w:val="02TEXTOPRINCIPAL"/>
        <w:spacing w:before="0" w:line="240" w:lineRule="auto"/>
      </w:pPr>
      <w:r>
        <w:t xml:space="preserve">O </w:t>
      </w:r>
      <w:r>
        <w:rPr>
          <w:b/>
        </w:rPr>
        <w:t>papel dos/as estudantes</w:t>
      </w:r>
      <w:r>
        <w:t>, por sua vez, é envolver-se no processo de ensino e aprendizagem, buscando informações e conhecimentos de forma autônoma e comprometida com o seu processo cognitivo e o do grupo.</w:t>
      </w:r>
    </w:p>
    <w:p w:rsidR="00774E74" w:rsidRDefault="009C6287">
      <w:pPr>
        <w:pStyle w:val="02TEXTOPRINCIPAL"/>
        <w:spacing w:before="0" w:line="240" w:lineRule="auto"/>
      </w:pPr>
      <w:r>
        <w:t>A</w:t>
      </w:r>
      <w:r>
        <w:rPr>
          <w:b/>
        </w:rPr>
        <w:t xml:space="preserve"> gestão do tempo</w:t>
      </w:r>
      <w:r>
        <w:t xml:space="preserve"> nesse contexto é imprescindível. A sala de aula se organiza em atividades de exposição e de trabalhos em grupos, de forma que é importante que o/a professor/a conheça o ritmo de cada estudante para que possa decidir melhor as organizações no período da aula. Para o trabalho expositivo, que também conta com a interação dos/as estudantes, é importante que o/a docente acione o esquema mental desses/dessas estudantes e traga as informações para a apresentação de um conteúdo, otimizando o momento da aula para trocas construtivas.</w:t>
      </w:r>
    </w:p>
    <w:p w:rsidR="00774E74" w:rsidRDefault="009C6287">
      <w:pPr>
        <w:suppressAutoHyphens/>
      </w:pPr>
      <w:r>
        <w:t xml:space="preserve">Trabalhos individuais e em grupos demandam o estabelecimento de regras e acordos para garantir o bom andamento de cada tarefa e permitem o desenvolvimento de habilidades relacionadas ao trabalho cooperativo, como as que abordam aspectos como interação discursiva, compreensão e produção oral. Por meio do trabalho em grupo, os/as estudantes podem “identificar o lugar de si e o do outro em um mundo plurilíngue e multicultural, refletindo, criticamente, sobre como a aprendizagem da língua inglesa contribui para a inserção dos sujeitos no mundo globalizado, inclusive no que concerne ao mundo do trabalho”, que corresponde a uma competência específica proposta pela BNCC. O trabalho em grupo possibilita essa visão do sujeito como alguém que compartilha o espaço com outro e constrói, com esse outro, reflexões e críticas sobre o mundo que os cerca. </w:t>
      </w:r>
    </w:p>
    <w:p w:rsidR="00774E74" w:rsidRDefault="009C6287">
      <w:pPr>
        <w:pStyle w:val="02TEXTOPRINCIPAL"/>
        <w:spacing w:before="0" w:line="240" w:lineRule="auto"/>
      </w:pPr>
      <w:r>
        <w:t>Para o trabalho individual dos/as estudantes, é preciso ter sempre algo extra planejado, uma vez que eles/elas têm ritmos diferentes e alguns/algumas podem precisar de atividades complementares para não incorrer em tempo ocioso em sala. No Manual do Professor da coleção, na seção “Acompanhando a aprendizagem”, há sugestões de atividades complementares que podem ser utilizadas nesses contextos, visando atender às demandas de turmas heterogêneas.</w:t>
      </w:r>
      <w:r>
        <w:br w:type="page"/>
      </w:r>
    </w:p>
    <w:p w:rsidR="00774E74" w:rsidRDefault="00774E74">
      <w:pPr>
        <w:pStyle w:val="02TEXTOPRINCIPAL"/>
        <w:spacing w:before="0" w:line="240" w:lineRule="auto"/>
      </w:pPr>
    </w:p>
    <w:p w:rsidR="00774E74" w:rsidRDefault="009C6287">
      <w:pPr>
        <w:pStyle w:val="02TEXTOPRINCIPAL"/>
        <w:spacing w:before="0" w:line="240" w:lineRule="auto"/>
      </w:pPr>
      <w:r>
        <w:t xml:space="preserve">Uma atividade em grupo deve ser orquestrada de forma que haja respeito mútuo pelas posições diferenciadas de cada um/a e, ao decidir os grupos, o/a professor/a pode adotar diferentes formas de agrupamento. Uma sugestão inicial é que os/as estudantes escolham suas formações, mas, como é necessário que o intercâmbio de ideias ocorra frequentemente, é interessante fazer brincadeiras que conduzam ao agrupamento, como preparar pequenos papéis com números. Os/As estudantes que tiverem o número 1 farão um grupo e assim por diante. Segundo Lotan (2017), recomenda-se que, uma vez formados os grupos, as funções dos membros dentro dele sejam distribuídas aleatoriamente. Também é importante que, em paralelo, seja feito um controle de quais funções cada estudante já exerceu nos grupos dos quais participou, exercendo, a cada novo grupo, uma mudança de função. </w:t>
      </w:r>
    </w:p>
    <w:p w:rsidR="00774E74" w:rsidRDefault="009C6287">
      <w:pPr>
        <w:pStyle w:val="02TEXTOPRINCIPAL"/>
        <w:spacing w:before="0" w:line="240" w:lineRule="auto"/>
      </w:pPr>
      <w:r>
        <w:t xml:space="preserve">Sempre que tarefas individuais ou em grupos forem estipuladas, combinar com os/as estudantes o tempo para desenvolvê-las; ao final, é imperioso fazer as correções e os comentários. Caso o tempo não tenha sido suficiente, acordar com eles/elas uma forma de finalização desse trabalho para que a correção possa acontecer. </w:t>
      </w:r>
    </w:p>
    <w:p w:rsidR="00774E74" w:rsidRDefault="009C6287">
      <w:pPr>
        <w:pStyle w:val="02TEXTOPRINCIPAL"/>
        <w:spacing w:before="0" w:line="240" w:lineRule="auto"/>
      </w:pPr>
      <w:r>
        <w:t xml:space="preserve">É importante fazer um registro criterioso das atividades a serem realizadas e das que foram cumpridas. A percepção de continuidade e de coerência faz que os/as estudantes compreendam a seriedade e a preocupação com o trabalho e os/as estimula para as aulas. </w:t>
      </w:r>
    </w:p>
    <w:p w:rsidR="00774E74" w:rsidRDefault="009C6287">
      <w:pPr>
        <w:pStyle w:val="02TEXTOPRINCIPAL"/>
        <w:spacing w:before="0" w:line="240" w:lineRule="auto"/>
      </w:pPr>
      <w:r>
        <w:t xml:space="preserve">A </w:t>
      </w:r>
      <w:r>
        <w:rPr>
          <w:b/>
          <w:bCs/>
        </w:rPr>
        <w:t>organização do espaço da sala de aula</w:t>
      </w:r>
      <w:r>
        <w:t xml:space="preserve"> retrata a prática pedagógica. O espaço tradicional de sala de aula ainda costuma apresentar as carteiras enfileiradas, com os/as estudantes de frente para o/a professor/a, de forma que receberão o que ele/ela tem para oferecer. Sugere-se criar formas mais abertas de trabalho, organizando as carteiras em duplas, em pequenos grupos ou em semicírculo, favorecendo a distribuição do saber em rede, e não concentrada exclusivamente no/a docente. Lançando mão de diversos formatos de organização da sala, estrategicamente, você pode enriquecer as experiências dos/as estudantes.</w:t>
      </w:r>
    </w:p>
    <w:p w:rsidR="00774E74" w:rsidRDefault="009C6287">
      <w:pPr>
        <w:pStyle w:val="02TEXTOPRINCIPAL"/>
        <w:spacing w:before="0" w:line="240" w:lineRule="auto"/>
      </w:pPr>
      <w:r>
        <w:t xml:space="preserve">É importante ressaltar que a sala de aula não é o único espaço onde as aulas podem acontecer. A </w:t>
      </w:r>
      <w:r>
        <w:rPr>
          <w:b/>
        </w:rPr>
        <w:t>utilização de outros espaços da escola</w:t>
      </w:r>
      <w:r>
        <w:t xml:space="preserve"> (sala de informática, biblioteca, quadra etc.) aponta para uma ampliação de práticas contextualizadas que podem atingir, igualmente, a rua e os parques da cidade, quando possível. Na maioria desses espaços, é possível dar destaque à </w:t>
      </w:r>
      <w:r>
        <w:rPr>
          <w:b/>
        </w:rPr>
        <w:t>utilização de recursos digitais</w:t>
      </w:r>
      <w:r>
        <w:t xml:space="preserve">, por computadores ou celulares, que contribuem para que os/as estudantes busquem informações de forma autônoma, exercitem a criação de produtos, ampliem seu léxico de forma individualizada, observem outras formas de ensino e aprendizagem (por meio de videoaulas), comuniquem-se de forma síncrona (por mensagens de texto, </w:t>
      </w:r>
      <w:r>
        <w:rPr>
          <w:i/>
        </w:rPr>
        <w:t>chats</w:t>
      </w:r>
      <w:r>
        <w:t xml:space="preserve">) e de forma assíncrona (por </w:t>
      </w:r>
      <w:r>
        <w:rPr>
          <w:i/>
        </w:rPr>
        <w:t>e-mail</w:t>
      </w:r>
      <w:r>
        <w:t xml:space="preserve">) e expandam seus horizontes culturais e escolares por meio de leituras diversas em </w:t>
      </w:r>
      <w:r>
        <w:rPr>
          <w:i/>
        </w:rPr>
        <w:t>blogs</w:t>
      </w:r>
      <w:r>
        <w:t xml:space="preserve">, jornais </w:t>
      </w:r>
      <w:r>
        <w:rPr>
          <w:i/>
        </w:rPr>
        <w:t>on-line</w:t>
      </w:r>
      <w:r>
        <w:t>, dentre inúmeras possibilidades. Essas tarefas condizem com as habilidades relacionadas ao eixo leitura, uma vez que permitem aos/às estudantes que construam uma autonomia leitora por meio de práticas diferenciadas e tenham atitudes e disposições favoráveis como leitores/leitoras. Elas permitem, também, que eles/elas adquiram subsídios para “utilizar conhecimentos das linguagens verbal (oral e escrita) e/ou verbo-visual, corporal, multimodal, artística, matemática, científica, tecnológica e digital para expressar-se e partilhar informações, experiências, ideias e sentimentos em diferentes contextos e, com eles, produzir sentidos que levem ao entendimento mútuo”, uma competência da BNCC esperada.</w:t>
      </w:r>
    </w:p>
    <w:p w:rsidR="00774E74" w:rsidRDefault="009C6287">
      <w:pPr>
        <w:pStyle w:val="02TEXTOPRINCIPAL"/>
      </w:pPr>
      <w:r>
        <w:t xml:space="preserve">Finalmente, o/a professor/a deve estar atento ao cuidadoso </w:t>
      </w:r>
      <w:r>
        <w:rPr>
          <w:b/>
        </w:rPr>
        <w:t>preparo de materiais</w:t>
      </w:r>
      <w:r>
        <w:t xml:space="preserve"> para que os/as estudantes sejam expostos/as a fontes confiáveis e a recursos de qualidade, além de antecipar as demandas, prever as necessidades e se organizar para ter o que precisa à mão, previamente preparado.</w:t>
      </w:r>
    </w:p>
    <w:p w:rsidR="00774E74" w:rsidRDefault="00774E74">
      <w:pPr>
        <w:pStyle w:val="02TEXTOPRINCIPAL"/>
      </w:pPr>
    </w:p>
    <w:p w:rsidR="00774E74" w:rsidRDefault="009C6287">
      <w:pPr>
        <w:pStyle w:val="01TITULO3"/>
      </w:pPr>
      <w:r>
        <w:t>5. Acompanhamento da aprendizagem</w:t>
      </w:r>
    </w:p>
    <w:p w:rsidR="00774E74" w:rsidRDefault="009C6287">
      <w:pPr>
        <w:pStyle w:val="02TEXTOPRINCIPAL"/>
      </w:pPr>
      <w:r>
        <w:t xml:space="preserve">Acompanhar a aprendizagem dos/as estudantes deve ser um trabalho contínuo, com critérios prévia e claramente estabelecidos. Esses momentos permitem ao/à professor/a que se aproxime cada vez mais de seus/suas estudantes, com o intuito de verificar o que aprenderam e de que forma essa aprendizagem aconteceu. O diálogo durante a correção das atividades é uma estratégia efetiva porque, por meio dele, o/a professor/a poderá compreender melhor que caminhos os/as estudantes percorreram para chegar a determinada resposta e quais estratégias eles/elas utilizaram para resolver os problemas propostos. </w:t>
      </w:r>
    </w:p>
    <w:p w:rsidR="00774E74" w:rsidRDefault="009C6287">
      <w:pPr>
        <w:pStyle w:val="02TEXTOPRINCIPAL"/>
      </w:pPr>
      <w:r>
        <w:t xml:space="preserve">Vale lembrar que estudantes com ritmos diferentes, da mesma forma que na realização das atividades, alcançarão resultados variados e devem ser avaliados/as na perspectiva do acesso ao conhecimento e do esforço individual. É importante realçar o que foi aprendido, não o que não foi assimilado. </w:t>
      </w:r>
    </w:p>
    <w:p w:rsidR="00774E74" w:rsidRDefault="009C6287"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Algumas ações, quando colocadas em prática, podem auxiliar o processo avaliativo, colaborando na revisão de estratégias que podem ser adequadas para todos/as. Apresentamos sugestões e orientações que podem ajudar nesse processo.</w:t>
      </w:r>
    </w:p>
    <w:p w:rsidR="00774E74" w:rsidRDefault="009C6287">
      <w:pPr>
        <w:pStyle w:val="02TEXTOPRINCIPAL"/>
      </w:pPr>
      <w:r>
        <w:t xml:space="preserve">Para uma </w:t>
      </w:r>
      <w:r>
        <w:rPr>
          <w:b/>
        </w:rPr>
        <w:t>avaliação diagnóstica</w:t>
      </w:r>
      <w:r>
        <w:t xml:space="preserve">, que verifica o que os/as estudantes já conhecem e como conseguem conectar esses conceitos e ideias para construir algo novo, há instrumentos tradicionais, como um teste escrito. Essa sondagem, de acordo com seus objetivos, pode ser com questões do tipo aberto ou fechado. Caso o/a professor/a tenha a expectativa de avaliar o grau de conhecimento gramatical dos/as estudantes, o teste pode ser fechado, de múltipla escolha, padronizado. Caso o objetivo seja uma avaliação da competência linguística da turma, que analise como usam o vocabulário, as estruturas gramaticais e como mobilizam a língua-alvo, a produção de texto traz possibilidades diversas de avaliação. Essa produção pode ter o enfoque oral, da mesma forma, e nesse diálogo com uso da língua inglesa já é possível determinar quanto os/as estudantes trazem desse conhecimento lexical e gramatical. A competência estratégica, que se manifesta nas explicações que os/as estudantes apresentam para expressar o que não dominam (como usar uma definição para explicar uma palavra que não sabem), também pode ser avaliada nesse momento. Ela pode ser trabalhada com a turma e desenvolvê-la significa avançar com sucesso na comunicação. </w:t>
      </w:r>
    </w:p>
    <w:p w:rsidR="00774E74" w:rsidRDefault="009C6287">
      <w:pPr>
        <w:pStyle w:val="02TEXTOPRINCIPAL"/>
      </w:pPr>
      <w:r>
        <w:t xml:space="preserve">Para uma </w:t>
      </w:r>
      <w:r>
        <w:rPr>
          <w:b/>
        </w:rPr>
        <w:t>avaliação formativa</w:t>
      </w:r>
      <w:r>
        <w:t xml:space="preserve">, que aponta os resultados a partir do trabalho que se desenvolve na sala de aula sem necessariamente implicar verificação quantitativa, é possível lançar mão dos variados exercícios realizados na sala de aula, tanto os que a coleção propõe quanto os que são criados em caráter extraordinário. Atividades de pesquisa encaminhadas como lição de casa, trabalhos feitos em duplas ou em grupos e as produções individuais, analisadas pelo/a docente, podem dar indícios dos resultados somativos que a turma alcançará. Essa verificação formativa permite um acompanhamento da aprendizagem e o estabelecimento de ações de interferência pedagógica para que os/as estudantes possam superar as dificuldades existentes em determinado ponto. Uma ficha de registros de atuação de cada estudante pode auxiliar nas observações sobre as atitudes e sobre o rendimento escolar individual, levando em consideração os aspectos cognitivos, afetivos e psicomotores, que caracterizam a </w:t>
      </w:r>
      <w:r>
        <w:rPr>
          <w:b/>
        </w:rPr>
        <w:t>observação em sala de aula</w:t>
      </w:r>
      <w:r>
        <w:t xml:space="preserve">. </w:t>
      </w:r>
    </w:p>
    <w:p w:rsidR="00774E74" w:rsidRDefault="009C6287">
      <w:pPr>
        <w:pStyle w:val="02TEXTOPRINCIPAL"/>
      </w:pPr>
      <w:r>
        <w:t xml:space="preserve">Uma </w:t>
      </w:r>
      <w:r>
        <w:rPr>
          <w:b/>
        </w:rPr>
        <w:t>avaliação somativa</w:t>
      </w:r>
      <w:r>
        <w:t xml:space="preserve"> tem a finalidade de atribuir notas ou conceitos aos/às estudantes, uma demanda do universo escolar, para que ele/ela possa ser promovido/a para a etapa seguinte. Se o/a professor/a adota a forma processual de pensar a avaliação, essa etapa somativa será complementada pela etapa formativa, uma vez que os empenhos e resultados já apontados pelos/as estudantes podem dar muitos indícios sobre sua evolução e seu conhecimento do conteúdo trabalhado. Mais uma vez, os testes tradicionais não são reconhecidos como a única opção. O desenvolvimento de um projeto de ensino que apresente um produto pode oferecer insumos para uma avaliação somativa de qualidade. Considerando que um projeto é desenvolvido de forma coletiva, pode ser considerada nesta avaliação a forma como os/as estudantes agiram individualmente e em relação ao grupo durante o processo de aprendizagem, e não só o que aprenderam. Atividades variadas realizadas oralmente também permitem ao/à professor/a que investigue o avanço na competência linguística dos/as aprendizes, analisando pontos distintos como a pronúncia, a entonação e a fluência, bem como a competência estratégica. Sugere-se, inclusive, que seja feito um registro das atividades orais desenvolvidas em sala e do desempenho da turma nelas, de modo a utilizá-lo na composição da avaliação somativa desse eixo. Essa e as demais avaliações devem contribuir para que o/a professor/a, com base em seu planejamento, mensure quais conhecimentos precisam ser retomados e/ou ampliados, a fim de que seja possível avançar sem prejuízo de aprendizagem. </w:t>
      </w:r>
    </w:p>
    <w:p w:rsidR="00774E74" w:rsidRDefault="009C6287">
      <w:pPr>
        <w:pStyle w:val="02TEXTOPRINCIPAL"/>
      </w:pPr>
      <w:r>
        <w:t xml:space="preserve">A </w:t>
      </w:r>
      <w:r>
        <w:rPr>
          <w:b/>
          <w:bCs/>
        </w:rPr>
        <w:t>autoavaliação</w:t>
      </w:r>
      <w:r>
        <w:t xml:space="preserve"> é uma etapa crucial na sequência avaliativa, pois permite aos/às estudantes que reflitam sobre seu processo e se conscientizem do que foi feito, do que poderia ser realizado de outra forma e do que pode mudar em etapas posteriores. É uma forma de desenvolver o conceito de autonomia nos/as estudantes, permitindo que estabeleçam metas e tomem decisões com base em suas necessidades. O/A professor/a deve auxiliá-los/as nessa caminhada de construção da autonomia, para que saibam definir atitudes coerentes e ajustadas ao processo de aprendizagem. A autoavaliação deve ser proporcionada pelo/a professor/a por meio de perguntas gerais sobre a aula, sobre o desempenho individual e sobre a postura dos/as estudantes durante as atividades realizadas, além das propostas na obra. Ela está presente, também, nas sequências didáticas que compõem este material, proporcionando aos/às estudantes uma verificação crítica da forma como se envolveram e desempenharam as tarefas propostas. </w:t>
      </w:r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Esse conjunto de ações permite a avaliação de um grupo heterogêneo, uma vez que uma </w:t>
      </w:r>
      <w:r>
        <w:rPr>
          <w:b/>
        </w:rPr>
        <w:t>instrução diferenciada</w:t>
      </w:r>
      <w:r>
        <w:t xml:space="preserve"> garante o acesso de todos às etapas mais complexas da aprendizagem. Em grupos que apresentem casos de inclusão, estudantes com demandas diversas podem se beneficiar dos diferentes processos avaliativos que o/a professor/a desenvolve. O importante é ter em mente que a evolução do/a estudante deve ser considerada tanto quanto os resultados esperados por ele/ela no tocante ao desenvolvimento de competências e habilidades. Avaliar um/a estudante com demandas específicas é desafiador, mas, ao mesmo tempo, possibilita uma compreensão de avanço muito específica no que diz respeito às limitações de cada um/a. O importante é garantir que, em qualquer situação, a avaliação não seja usada como forma de mensuração apenas, ou até mesmo de punição. O objetivo central dela é garantir a transformação da educação, é uma intervenção para a plena qualificação do indivíduo.</w:t>
      </w:r>
    </w:p>
    <w:p w:rsidR="00774E74" w:rsidRDefault="00774E74">
      <w:pPr>
        <w:pStyle w:val="02TEXTOPRINCIPAL"/>
      </w:pPr>
    </w:p>
    <w:p w:rsidR="00774E74" w:rsidRDefault="009C6287">
      <w:pPr>
        <w:pStyle w:val="01TITULO3"/>
        <w:spacing w:after="120"/>
      </w:pPr>
      <w:r>
        <w:t>6. Habilidades essenciais para a continuidade dos estudos:</w:t>
      </w:r>
    </w:p>
    <w:p w:rsidR="00774E74" w:rsidRDefault="009C6287">
      <w:pPr>
        <w:pStyle w:val="02TEXTOPRINCIPAL"/>
        <w:spacing w:before="0" w:line="240" w:lineRule="auto"/>
      </w:pPr>
      <w:r>
        <w:t>Requisitos básicos (habilidades) para os/as estudantes avançarem nos estudos.</w:t>
      </w:r>
    </w:p>
    <w:p w:rsidR="00774E74" w:rsidRDefault="009C6287">
      <w:pPr>
        <w:pStyle w:val="02TEXTOPRINCIPAL"/>
        <w:spacing w:before="0" w:line="240" w:lineRule="auto"/>
      </w:pPr>
      <w:r>
        <w:t>3</w:t>
      </w:r>
      <w:r>
        <w:rPr>
          <w:rFonts w:ascii="Cambria" w:hAnsi="Cambria"/>
        </w:rPr>
        <w:t>º</w:t>
      </w:r>
      <w:r>
        <w:t> bimestre</w:t>
      </w:r>
    </w:p>
    <w:p w:rsidR="00774E74" w:rsidRDefault="009C6287">
      <w:pPr>
        <w:pStyle w:val="02TEXTOPRINCIPAL"/>
      </w:pPr>
      <w:r>
        <w:t>- (</w:t>
      </w:r>
      <w:r>
        <w:rPr>
          <w:b/>
        </w:rPr>
        <w:t>EF09LI01</w:t>
      </w:r>
      <w:r>
        <w:t>) Fazer uso da língua inglesa para expor pontos de vista, argumentos e contra-argumentos, considerando o contexto e os recursos linguísticos voltados para a eficácia da comunicação.</w:t>
      </w:r>
    </w:p>
    <w:p w:rsidR="00774E74" w:rsidRDefault="009C6287">
      <w:pPr>
        <w:pStyle w:val="02TEXTOPRINCIPAL"/>
      </w:pPr>
      <w:r>
        <w:t>- (</w:t>
      </w:r>
      <w:r>
        <w:rPr>
          <w:b/>
        </w:rPr>
        <w:t>EF09LI03</w:t>
      </w:r>
      <w:r>
        <w:t>) Analisar posicionamentos defendidos e refutados em textos orais sobre temas de interesse social e coletivo.</w:t>
      </w:r>
    </w:p>
    <w:p w:rsidR="00774E74" w:rsidRDefault="009C6287">
      <w:pPr>
        <w:pStyle w:val="02TEXTOPRINCIPAL"/>
      </w:pPr>
      <w:r>
        <w:t>- (</w:t>
      </w:r>
      <w:r>
        <w:rPr>
          <w:b/>
        </w:rPr>
        <w:t>EF09LI10</w:t>
      </w:r>
      <w:r>
        <w:t>) Propor potenciais argumentos para expor e defender ponto de vista em texto escrito, refletindo sobre o tema proposto e pesquisando dados, evidências e exemplos para sustentar os argumentos, organizando-os em sequência lógica.</w:t>
      </w:r>
    </w:p>
    <w:p w:rsidR="00774E74" w:rsidRDefault="00774E74">
      <w:pPr>
        <w:pStyle w:val="02TEXTOPRINCIPAL"/>
        <w:rPr>
          <w:rFonts w:ascii="Calibri" w:hAnsi="Calibri" w:cs="Calibri"/>
          <w:sz w:val="22"/>
          <w:szCs w:val="22"/>
        </w:rPr>
      </w:pPr>
    </w:p>
    <w:p w:rsidR="00774E74" w:rsidRDefault="009C6287">
      <w:pPr>
        <w:pStyle w:val="01TITULO3"/>
        <w:spacing w:after="120"/>
      </w:pPr>
      <w:r>
        <w:t xml:space="preserve">7. Sugestões bibliográficas para o/a professor/a: </w:t>
      </w:r>
    </w:p>
    <w:p w:rsidR="00774E74" w:rsidRDefault="009C6287">
      <w:pPr>
        <w:pStyle w:val="01TITULO4"/>
      </w:pPr>
      <w:r>
        <w:t>Livros e artigos</w:t>
      </w:r>
    </w:p>
    <w:p w:rsidR="00774E74" w:rsidRDefault="009C6287">
      <w:pPr>
        <w:pStyle w:val="02TEXTOPRINCIPAL"/>
        <w:rPr>
          <w:rFonts w:eastAsia="Times New Roman"/>
          <w:lang w:val="en-US"/>
        </w:rPr>
      </w:pPr>
      <w:r>
        <w:rPr>
          <w:rFonts w:eastAsia="Times New Roman"/>
          <w:i/>
        </w:rPr>
        <w:t>BRITANNICA Concise Encyclopedia</w:t>
      </w:r>
      <w:r>
        <w:rPr>
          <w:rFonts w:eastAsia="Times New Roman"/>
        </w:rPr>
        <w:t xml:space="preserve">. </w:t>
      </w:r>
      <w:r>
        <w:rPr>
          <w:rFonts w:eastAsia="Times New Roman"/>
          <w:lang w:val="en-US"/>
        </w:rPr>
        <w:t>Chicago: Encyclopaedia Britannica Inc., 2008.</w:t>
      </w:r>
    </w:p>
    <w:p w:rsidR="00774E74" w:rsidRDefault="009C6287">
      <w:pPr>
        <w:pStyle w:val="02TEXTOPRINCIPAL"/>
        <w:rPr>
          <w:rFonts w:eastAsia="Times New Roman"/>
        </w:rPr>
      </w:pPr>
      <w:r>
        <w:rPr>
          <w:rFonts w:eastAsia="Times New Roman"/>
          <w:lang w:val="en-US"/>
        </w:rPr>
        <w:t xml:space="preserve">DECLERCK, R.; REED, S. </w:t>
      </w:r>
      <w:r>
        <w:rPr>
          <w:rFonts w:eastAsia="Times New Roman"/>
          <w:i/>
          <w:lang w:val="en-US"/>
        </w:rPr>
        <w:t>The grammar of the English verb phrase</w:t>
      </w:r>
      <w:r>
        <w:rPr>
          <w:rFonts w:eastAsia="Times New Roman"/>
          <w:lang w:val="en-US"/>
        </w:rPr>
        <w:t xml:space="preserve"> </w:t>
      </w:r>
      <w:r>
        <w:rPr>
          <w:rFonts w:eastAsia="Times New Roman"/>
          <w:i/>
          <w:lang w:val="en-US"/>
        </w:rPr>
        <w:t>– volume 1</w:t>
      </w:r>
      <w:r>
        <w:rPr>
          <w:rFonts w:eastAsia="Times New Roman"/>
          <w:lang w:val="en-US"/>
        </w:rPr>
        <w:t xml:space="preserve">: the grammar of the English tense system: a comprehensive analysis. </w:t>
      </w:r>
      <w:r>
        <w:rPr>
          <w:rFonts w:eastAsia="Times New Roman"/>
        </w:rPr>
        <w:t>Berlim: Mouton de Gruyter, 2008.</w:t>
      </w:r>
    </w:p>
    <w:p w:rsidR="00774E74" w:rsidRDefault="009C6287">
      <w:pPr>
        <w:pStyle w:val="02TEXTOPRINCIPAL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GRADDOL, D. </w:t>
      </w:r>
      <w:r>
        <w:rPr>
          <w:rFonts w:eastAsia="Times New Roman"/>
          <w:i/>
          <w:lang w:val="en-US"/>
        </w:rPr>
        <w:t>The future of English?</w:t>
      </w:r>
      <w:r>
        <w:rPr>
          <w:rFonts w:eastAsia="Times New Roman"/>
          <w:lang w:val="en-US"/>
        </w:rPr>
        <w:t xml:space="preserve"> A guide to forecasting the popularity of the English language in the 21st century. Londres: The British Council, 1997/2000.</w:t>
      </w:r>
    </w:p>
    <w:p w:rsidR="00774E74" w:rsidRDefault="009C6287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OLIVEIRA, E. Reflexões sobre o ensino de inglês como língua estrangeira. Professores de inglês em curso. </w:t>
      </w:r>
      <w:r>
        <w:rPr>
          <w:rFonts w:eastAsia="Times New Roman"/>
          <w:i/>
        </w:rPr>
        <w:t>Trabalhos em Linguística Aplicada</w:t>
      </w:r>
      <w:r>
        <w:rPr>
          <w:rFonts w:eastAsia="Times New Roman"/>
        </w:rPr>
        <w:t>. Campinas, v. 39, p. 69-79, 2002.</w:t>
      </w:r>
    </w:p>
    <w:p w:rsidR="00774E74" w:rsidRDefault="009C6287">
      <w:pPr>
        <w:pStyle w:val="02TEXTOPRINCIPAL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SOLLY, M.; ESCH, E. </w:t>
      </w:r>
      <w:r>
        <w:rPr>
          <w:rFonts w:eastAsia="Times New Roman"/>
          <w:i/>
          <w:lang w:val="en-US"/>
        </w:rPr>
        <w:t>Language Education and the Challenges of Globalisation</w:t>
      </w:r>
      <w:r>
        <w:rPr>
          <w:rFonts w:eastAsia="Times New Roman"/>
          <w:lang w:val="en-US"/>
        </w:rPr>
        <w:t>: Sociolinguistic Issues.</w:t>
      </w:r>
    </w:p>
    <w:p w:rsidR="00774E74" w:rsidRDefault="009C6287">
      <w:pPr>
        <w:pStyle w:val="02TEXTOPRINCIPAL"/>
        <w:rPr>
          <w:color w:val="000000"/>
          <w:lang w:val="en-US"/>
        </w:rPr>
      </w:pPr>
      <w:r>
        <w:rPr>
          <w:rFonts w:eastAsia="Times New Roman"/>
          <w:lang w:val="en-US"/>
        </w:rPr>
        <w:t>Newcastle Upon Thyne: Cambridge Scholar Publishing, 2014.</w:t>
      </w:r>
    </w:p>
    <w:p w:rsidR="00774E74" w:rsidRDefault="00774E74">
      <w:pPr>
        <w:pStyle w:val="02TEXTOPRINCIPAL"/>
        <w:rPr>
          <w:color w:val="000000"/>
          <w:lang w:val="en-US"/>
        </w:rPr>
      </w:pPr>
    </w:p>
    <w:p w:rsidR="00774E74" w:rsidRDefault="009C6287">
      <w:pPr>
        <w:pStyle w:val="01TITULO4"/>
      </w:pPr>
      <w:r>
        <w:t>Filme</w:t>
      </w:r>
    </w:p>
    <w:p w:rsidR="00774E74" w:rsidRDefault="009C6287">
      <w:pPr>
        <w:pStyle w:val="02TEXTOPRINCIPAL"/>
      </w:pPr>
      <w:r>
        <w:rPr>
          <w:i/>
        </w:rPr>
        <w:t>Comer, rezar, amar</w:t>
      </w:r>
      <w:r>
        <w:t>. Direção de Ryan Murphy. Estados Unidos, 2010. (140 min.)</w:t>
      </w:r>
    </w:p>
    <w:p w:rsidR="00774E74" w:rsidRDefault="009C6287"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1TITULO3"/>
        <w:spacing w:after="120"/>
      </w:pPr>
      <w:r>
        <w:t xml:space="preserve">8. Sugestões bibliográficas para os/as estudantes: </w:t>
      </w:r>
    </w:p>
    <w:p w:rsidR="00774E74" w:rsidRDefault="009C6287">
      <w:pPr>
        <w:pStyle w:val="01TITULO4"/>
        <w:rPr>
          <w:lang w:val="en-US"/>
        </w:rPr>
      </w:pPr>
      <w:r>
        <w:rPr>
          <w:lang w:val="en-US"/>
        </w:rPr>
        <w:t>Livros</w:t>
      </w:r>
    </w:p>
    <w:p w:rsidR="00774E74" w:rsidRDefault="009C6287">
      <w:pPr>
        <w:pStyle w:val="02TEXTOPRINCIPAL"/>
        <w:rPr>
          <w:bCs/>
        </w:rPr>
      </w:pPr>
      <w:r>
        <w:rPr>
          <w:bCs/>
        </w:rPr>
        <w:t xml:space="preserve">CACTUS, J. </w:t>
      </w:r>
      <w:r>
        <w:rPr>
          <w:bCs/>
          <w:i/>
        </w:rPr>
        <w:t xml:space="preserve">Aprenda inglês com contos para iniciantes: </w:t>
      </w:r>
      <w:r>
        <w:rPr>
          <w:bCs/>
        </w:rPr>
        <w:t>melhore sua habilidade de leitura e compreensão auditiva em inglês. CreateSpace Independent Publishing Platform, 2017.</w:t>
      </w:r>
    </w:p>
    <w:p w:rsidR="00774E74" w:rsidRDefault="009C6287">
      <w:pPr>
        <w:pStyle w:val="02TEXTOPRINCIPAL"/>
        <w:rPr>
          <w:lang w:val="en-US"/>
        </w:rPr>
      </w:pPr>
      <w:r>
        <w:t xml:space="preserve">GONTOW, C. </w:t>
      </w:r>
      <w:r>
        <w:rPr>
          <w:i/>
        </w:rPr>
        <w:t>101 dicas para você aprender inglês com sucesso</w:t>
      </w:r>
      <w:r>
        <w:t xml:space="preserve">. </w:t>
      </w:r>
      <w:r>
        <w:rPr>
          <w:lang w:val="en-US"/>
        </w:rPr>
        <w:t>São Paulo: Editora Disal, 2013.</w:t>
      </w:r>
    </w:p>
    <w:p w:rsidR="00774E74" w:rsidRDefault="009C6287">
      <w:pPr>
        <w:pStyle w:val="02TEXTOPRINCIPAL"/>
        <w:rPr>
          <w:bCs/>
          <w:lang w:val="en-US"/>
        </w:rPr>
      </w:pPr>
      <w:r>
        <w:rPr>
          <w:bCs/>
          <w:lang w:val="en-US"/>
        </w:rPr>
        <w:t xml:space="preserve">TWAIN, M. </w:t>
      </w:r>
      <w:r>
        <w:rPr>
          <w:bCs/>
          <w:i/>
          <w:lang w:val="en-US"/>
        </w:rPr>
        <w:t>Prince and the Pauper</w:t>
      </w:r>
      <w:r>
        <w:rPr>
          <w:bCs/>
          <w:lang w:val="en-US"/>
        </w:rPr>
        <w:t>: Level 2. Penguin Readers. 2. ed. Londres: Pearson Education, 2015.</w:t>
      </w:r>
    </w:p>
    <w:p w:rsidR="00774E74" w:rsidRDefault="00774E74">
      <w:pPr>
        <w:pStyle w:val="02TEXTOPRINCIPAL"/>
        <w:rPr>
          <w:lang w:val="en-US"/>
        </w:rPr>
      </w:pPr>
    </w:p>
    <w:p w:rsidR="00774E74" w:rsidRDefault="009C6287">
      <w:pPr>
        <w:pStyle w:val="01TITULO4"/>
      </w:pPr>
      <w:r>
        <w:t>Filmes</w:t>
      </w:r>
    </w:p>
    <w:p w:rsidR="00774E74" w:rsidRDefault="009C6287">
      <w:pPr>
        <w:pStyle w:val="02TEXTOPRINCIPAL"/>
        <w:rPr>
          <w:iCs/>
        </w:rPr>
      </w:pPr>
      <w:r>
        <w:rPr>
          <w:i/>
        </w:rPr>
        <w:t>A copa</w:t>
      </w:r>
      <w:r>
        <w:t>. Direção de Khyentse Norbu. Austrália/Butão, 1999. (93 min.)</w:t>
      </w:r>
    </w:p>
    <w:p w:rsidR="00774E74" w:rsidRDefault="009C6287">
      <w:pPr>
        <w:pStyle w:val="02TEXTOPRINCIPAL"/>
        <w:tabs>
          <w:tab w:val="right" w:pos="10080"/>
        </w:tabs>
        <w:spacing w:before="0" w:line="240" w:lineRule="auto"/>
      </w:pPr>
      <w:r>
        <w:rPr>
          <w:i/>
        </w:rPr>
        <w:t xml:space="preserve">Os delírios de consumo de Becky Bloom. </w:t>
      </w:r>
      <w:r>
        <w:t>Direção de J. P. Hogan. Estados Unidos, 2009. (106 min.)</w:t>
      </w:r>
    </w:p>
    <w:p w:rsidR="00774E74" w:rsidRDefault="00774E74">
      <w:pPr>
        <w:pStyle w:val="01TITULO3"/>
        <w:rPr>
          <w:rFonts w:ascii="Tahoma" w:eastAsia="Tahoma" w:hAnsi="Tahoma" w:cs="Tahoma"/>
          <w:b w:val="0"/>
          <w:bCs w:val="0"/>
          <w:sz w:val="20"/>
          <w:szCs w:val="20"/>
        </w:rPr>
      </w:pPr>
    </w:p>
    <w:p w:rsidR="00774E74" w:rsidRDefault="009C6287">
      <w:pPr>
        <w:pStyle w:val="01TITULO3"/>
      </w:pPr>
      <w:r>
        <w:t>9. Bibliografia</w:t>
      </w:r>
    </w:p>
    <w:p w:rsidR="00774E74" w:rsidRDefault="009C6287">
      <w:pPr>
        <w:pStyle w:val="02TEXTOPRINCIPAL"/>
      </w:pPr>
      <w:r>
        <w:t xml:space="preserve">BRASIL. Ministério da Educação. Base Nacional Comum Curricular. </w:t>
      </w:r>
      <w:r>
        <w:rPr>
          <w:i/>
        </w:rPr>
        <w:t>Proposta preliminar.</w:t>
      </w:r>
      <w:r>
        <w:t xml:space="preserve"> Terceira versão revista. Brasília: MEC, 2017. Disponível em &lt;</w:t>
      </w:r>
      <w:hyperlink r:id="rId8">
        <w:r>
          <w:rPr>
            <w:rStyle w:val="LinkdaInternet"/>
          </w:rPr>
          <w:t>http://basenacionalcomum.mec.gov.br/</w:t>
        </w:r>
      </w:hyperlink>
      <w:r>
        <w:t xml:space="preserve">&gt;. Acesso em 20 de agosto de 2018.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EL KADRI, M. R. </w:t>
      </w:r>
      <w:r>
        <w:rPr>
          <w:i/>
        </w:rPr>
        <w:t>Atitudes sobre o estatuto do inglês como língua franca em um curso de formação inicial de professores</w:t>
      </w:r>
      <w:r>
        <w:t xml:space="preserve">. 2010. 179f. Dissertação (Mestrado em Estudos da Linguagem) – Universidade Estadual de Londrina, Londrina, 2010.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  <w:rPr>
          <w:lang w:val="en-US"/>
        </w:rPr>
      </w:pPr>
      <w:r>
        <w:rPr>
          <w:lang w:val="en-US"/>
        </w:rPr>
        <w:t>ERLING, E. J. The many names of English:</w:t>
      </w:r>
      <w:r>
        <w:rPr>
          <w:i/>
          <w:lang w:val="en-US"/>
        </w:rPr>
        <w:t xml:space="preserve"> </w:t>
      </w:r>
      <w:r>
        <w:rPr>
          <w:lang w:val="en-US"/>
        </w:rPr>
        <w:t>a discussion of the variety of labels given to the language in its worldwide role</w:t>
      </w:r>
      <w:r>
        <w:rPr>
          <w:i/>
          <w:lang w:val="en-US"/>
        </w:rPr>
        <w:t>. English Today</w:t>
      </w:r>
      <w:r>
        <w:rPr>
          <w:lang w:val="en-US"/>
        </w:rPr>
        <w:t>, v. 21, n. 1, p. 40-44, jan. 2005. Disponível em</w:t>
      </w:r>
    </w:p>
    <w:p w:rsidR="00774E74" w:rsidRDefault="009C6287">
      <w:pPr>
        <w:pStyle w:val="02TEXTOPRINCIPAL"/>
      </w:pPr>
      <w:r>
        <w:rPr>
          <w:lang w:val="en-US"/>
        </w:rPr>
        <w:t>&lt;</w:t>
      </w:r>
      <w:hyperlink r:id="rId9">
        <w:r>
          <w:rPr>
            <w:rStyle w:val="LinkdaInternet"/>
          </w:rPr>
          <w:t>http://libeprints.open.ac.uk/10062/1/download.pdf</w:t>
        </w:r>
      </w:hyperlink>
      <w:r>
        <w:rPr>
          <w:lang w:val="en-US"/>
        </w:rPr>
        <w:t xml:space="preserve">&gt;. </w:t>
      </w:r>
      <w:r>
        <w:t>Acesso em 20 de agosto de 2018.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rPr>
          <w:lang w:val="en-US"/>
        </w:rPr>
        <w:t xml:space="preserve">EVERTSON, C. M. et al. </w:t>
      </w:r>
      <w:r>
        <w:rPr>
          <w:i/>
          <w:lang w:val="en-US"/>
        </w:rPr>
        <w:t>Classroom management for elementary teachers</w:t>
      </w:r>
      <w:r>
        <w:rPr>
          <w:lang w:val="en-US"/>
        </w:rPr>
        <w:t xml:space="preserve">. </w:t>
      </w:r>
      <w:r>
        <w:t>Needham Heights: Allyn &amp; Bacon, 1994.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  <w:rPr>
          <w:lang w:val="en-US"/>
        </w:rPr>
      </w:pPr>
      <w:r>
        <w:t xml:space="preserve">LOTAN, R. O desafio de organizar e mediar o trabalho em grupo (entrevista). </w:t>
      </w:r>
      <w:r>
        <w:rPr>
          <w:i/>
          <w:lang w:val="en-US"/>
        </w:rPr>
        <w:t>Nova Escola</w:t>
      </w:r>
      <w:r>
        <w:rPr>
          <w:lang w:val="en-US"/>
        </w:rPr>
        <w:t xml:space="preserve">, Abril/2017. </w:t>
      </w:r>
    </w:p>
    <w:p w:rsidR="00774E74" w:rsidRDefault="00774E74">
      <w:pPr>
        <w:pStyle w:val="02TEXTOPRINCIPAL"/>
        <w:rPr>
          <w:lang w:val="en-US"/>
        </w:rPr>
      </w:pPr>
    </w:p>
    <w:p w:rsidR="00774E74" w:rsidRDefault="009C6287">
      <w:pPr>
        <w:pStyle w:val="02TEXTOPRINCIPAL"/>
        <w:rPr>
          <w:lang w:val="en-US"/>
        </w:rPr>
      </w:pPr>
      <w:r>
        <w:rPr>
          <w:lang w:val="en-US"/>
        </w:rPr>
        <w:t xml:space="preserve">MAYER, R.; GOODCHILD, F. </w:t>
      </w:r>
      <w:r>
        <w:rPr>
          <w:i/>
          <w:lang w:val="en-US"/>
        </w:rPr>
        <w:t>The critical thinker.</w:t>
      </w:r>
      <w:r>
        <w:rPr>
          <w:lang w:val="en-US"/>
        </w:rPr>
        <w:t xml:space="preserve"> Nova York: Wm. C. Brown, 1990.</w:t>
      </w:r>
    </w:p>
    <w:p w:rsidR="00774E74" w:rsidRDefault="00774E74">
      <w:pPr>
        <w:pStyle w:val="02TEXTOPRINCIPAL"/>
        <w:rPr>
          <w:lang w:val="en-US"/>
        </w:rPr>
      </w:pPr>
    </w:p>
    <w:p w:rsidR="00774E74" w:rsidRDefault="009C6287">
      <w:pPr>
        <w:pStyle w:val="02TEXTOPRINCIPAL"/>
      </w:pPr>
      <w:r>
        <w:t xml:space="preserve">ROSA, P. A. O inglês como língua franca na visão dos professores em exercício da educação básica. </w:t>
      </w:r>
      <w:r>
        <w:rPr>
          <w:i/>
        </w:rPr>
        <w:t>Fólio Revista de Letras</w:t>
      </w:r>
      <w:r>
        <w:t xml:space="preserve">, v. 8, n. 1, p. 383-412. Vitória da Conquista: UESC, 2016.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rPr>
          <w:spacing w:val="-2"/>
        </w:rPr>
        <w:t xml:space="preserve">SARDELICH, M. E. Leitura de imagens, cultura visual e prática educativa. </w:t>
      </w:r>
      <w:r>
        <w:rPr>
          <w:bCs/>
          <w:i/>
          <w:spacing w:val="-2"/>
        </w:rPr>
        <w:t>Cadernos de pesquisa</w:t>
      </w:r>
      <w:r>
        <w:rPr>
          <w:spacing w:val="-2"/>
        </w:rPr>
        <w:t xml:space="preserve">, v. 36, n. 128, </w:t>
      </w:r>
      <w:r>
        <w:t>p. 451-472, 2006. Disponível em &lt;</w:t>
      </w:r>
      <w:hyperlink r:id="rId10">
        <w:r>
          <w:rPr>
            <w:rStyle w:val="LinkdaInternet"/>
          </w:rPr>
          <w:t>http://www.scielo.br/pdf/%0D/cp/v36n128/v36n128a09.pdf</w:t>
        </w:r>
      </w:hyperlink>
      <w:r>
        <w:t xml:space="preserve">&gt;. Acesso em 20 de agosto de 2018.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SILVA, F. L. da; MUZARDO, F. T.; JARDIM, T. M. S. Gestão da sala de aula na educação básica: estratégias docentes para viabilizar o ensino.</w:t>
      </w:r>
      <w:r>
        <w:rPr>
          <w:i/>
        </w:rPr>
        <w:t xml:space="preserve"> </w:t>
      </w:r>
      <w:r>
        <w:rPr>
          <w:bCs/>
          <w:i/>
        </w:rPr>
        <w:t>Revista de Ensino, Educação e Ciências Humanas</w:t>
      </w:r>
      <w:r>
        <w:t xml:space="preserve">, v. 16, n. 2, p. 152-155, 2015.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rPr>
          <w:spacing w:val="-2"/>
          <w:lang w:val="en-US"/>
        </w:rPr>
        <w:t xml:space="preserve">VANDERGRIFT, L. </w:t>
      </w:r>
      <w:r>
        <w:rPr>
          <w:i/>
          <w:spacing w:val="-2"/>
          <w:lang w:val="en-US"/>
        </w:rPr>
        <w:t>Facilitating second language listening comprehension</w:t>
      </w:r>
      <w:r>
        <w:rPr>
          <w:spacing w:val="-2"/>
          <w:lang w:val="en-US"/>
        </w:rPr>
        <w:t xml:space="preserve">: acquiring successful strategies. </w:t>
      </w:r>
      <w:r>
        <w:rPr>
          <w:spacing w:val="-2"/>
        </w:rPr>
        <w:t xml:space="preserve">1999. </w:t>
      </w:r>
      <w:r>
        <w:t>Disponível em &lt;</w:t>
      </w:r>
      <w:hyperlink r:id="rId11">
        <w:r>
          <w:rPr>
            <w:rStyle w:val="LinkdaInternet"/>
            <w:color w:val="0070C0"/>
          </w:rPr>
          <w:t>https://pdfs.semanticscholar.org/6868/216ea0a8efe013a788282d8671a4ccdbec5e.pdf</w:t>
        </w:r>
      </w:hyperlink>
      <w:r>
        <w:t>&gt;. Acesso em 20 de agosto de 2018.</w:t>
      </w:r>
    </w:p>
    <w:p w:rsidR="00774E74" w:rsidRDefault="009C6287">
      <w:pPr>
        <w:textAlignment w:val="auto"/>
        <w:rPr>
          <w:rFonts w:eastAsia="Tahoma"/>
        </w:rPr>
      </w:pPr>
      <w:r>
        <w:br w:type="page"/>
      </w:r>
    </w:p>
    <w:p w:rsidR="00774E74" w:rsidRDefault="009C6287">
      <w:pPr>
        <w:pStyle w:val="01TITULO1"/>
      </w:pPr>
      <w:r>
        <w:lastRenderedPageBreak/>
        <w:t>PROJETO INTEGRADOR</w:t>
      </w:r>
    </w:p>
    <w:p w:rsidR="00774E74" w:rsidRDefault="009C6287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9º ANO – 3º bimestre</w:t>
      </w:r>
    </w:p>
    <w:p w:rsidR="00774E74" w:rsidRDefault="00774E74">
      <w:pPr>
        <w:pStyle w:val="02TEXTOPRINCIPAL"/>
      </w:pPr>
    </w:p>
    <w:p w:rsidR="00774E74" w:rsidRDefault="009C6287">
      <w:pPr>
        <w:pStyle w:val="01TITULO3"/>
      </w:pPr>
      <w:r>
        <w:t>Título</w:t>
      </w:r>
    </w:p>
    <w:p w:rsidR="00774E74" w:rsidRDefault="009C6287">
      <w:pPr>
        <w:pStyle w:val="02TEXTOPRINCIPAL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Conscious </w:t>
      </w:r>
      <w:r>
        <w:rPr>
          <w:i/>
        </w:rPr>
        <w:t>consumption</w:t>
      </w:r>
    </w:p>
    <w:p w:rsidR="00774E74" w:rsidRDefault="00774E74">
      <w:pPr>
        <w:pStyle w:val="02TEXTOPRINCIPAL"/>
      </w:pPr>
    </w:p>
    <w:p w:rsidR="00774E74" w:rsidRDefault="009C6287">
      <w:pPr>
        <w:pStyle w:val="01TITULO3"/>
      </w:pPr>
      <w:r>
        <w:t>Justificativa</w:t>
      </w:r>
    </w:p>
    <w:p w:rsidR="00774E74" w:rsidRDefault="009C6287">
      <w:pPr>
        <w:pStyle w:val="02TEXTOPRINCIPAL"/>
      </w:pPr>
      <w:r>
        <w:t>Vivemos em uma sociedade em que o consumo é muito estimulado. As propagandas tentam nos convencer de que precisamos comprar mais para sermos mais felizes e termos sucesso. Nas rodas de amigos, muitas pessoas são levadas a se sentir inferiores quando não possuem os produtos da moda “que todo mundo tem”, mesmo que isso signifique descartar um produto ainda em bom estado para comprar outro e talvez se endividar. Contudo, a Terra passa por um momento no qual já não é mais possível consumir seus recursos desenfreadamente, causando poluição nos processos de produção e criando ilhas de dejetos que degradam ainda mais o meio ambiente. Portanto, ações que despertem as pessoas para essa realidade são de extrema importância. Com os trabalhos desenvolvidos neste projeto, espera-se que os/as estudantes compreendam que as nossas atitudes de consumo devem ser conscientes para preservar o meio ambiente, não apoiar práticas comerciais antiéticas e nem comprometer a nossa saúde (física e financeira). Espera-se, também, que os/as estudantes percebam como as nossas escolhas de consumo trazem impactos não só locais, mas também globais, e que eles/elas venham a ser agentes de disseminação desse conhecimento em sua comunidade.</w:t>
      </w:r>
    </w:p>
    <w:p w:rsidR="00774E74" w:rsidRDefault="009C6287">
      <w:pPr>
        <w:pStyle w:val="02TEXTOPRINCIPAL"/>
        <w:rPr>
          <w:sz w:val="20"/>
          <w:szCs w:val="20"/>
        </w:rPr>
      </w:pPr>
      <w:r>
        <w:rPr>
          <w:b/>
        </w:rPr>
        <w:t xml:space="preserve">Disciplinas integradoras: </w:t>
      </w:r>
      <w:r>
        <w:t>Língua Inglesa, Ciências da Natureza e Geografia.</w:t>
      </w:r>
    </w:p>
    <w:p w:rsidR="00774E74" w:rsidRDefault="00774E74">
      <w:pPr>
        <w:pStyle w:val="02TEXTOPRINCIPAL"/>
        <w:rPr>
          <w:b/>
        </w:rPr>
      </w:pPr>
    </w:p>
    <w:tbl>
      <w:tblPr>
        <w:tblStyle w:val="Tabelacomgrade"/>
        <w:tblW w:w="10194" w:type="dxa"/>
        <w:tblLook w:val="04A0" w:firstRow="1" w:lastRow="0" w:firstColumn="1" w:lastColumn="0" w:noHBand="0" w:noVBand="1"/>
      </w:tblPr>
      <w:tblGrid>
        <w:gridCol w:w="3112"/>
        <w:gridCol w:w="7082"/>
      </w:tblGrid>
      <w:tr w:rsidR="00774E74">
        <w:tc>
          <w:tcPr>
            <w:tcW w:w="10193" w:type="dxa"/>
            <w:gridSpan w:val="2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3TITULOTABELAS1"/>
            </w:pPr>
            <w:r>
              <w:t>Destaques da BNCC</w:t>
            </w:r>
          </w:p>
        </w:tc>
      </w:tr>
      <w:tr w:rsidR="00774E74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774E74" w:rsidRDefault="009C6287">
            <w:pPr>
              <w:pStyle w:val="03TITULOTABELAS2"/>
            </w:pPr>
            <w:r>
              <w:t>Tema contemporâneo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jc w:val="both"/>
              <w:rPr>
                <w:sz w:val="20"/>
                <w:szCs w:val="20"/>
              </w:rPr>
            </w:pPr>
            <w:r>
              <w:t>Educação em direitos humanos</w:t>
            </w:r>
          </w:p>
        </w:tc>
      </w:tr>
      <w:tr w:rsidR="00774E74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774E74" w:rsidRDefault="009C6287">
            <w:pPr>
              <w:pStyle w:val="03TITULOTABELAS2"/>
            </w:pPr>
            <w:r>
              <w:t>Competências gerais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2TEXTOITEM"/>
            </w:pPr>
            <w:r>
      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:rsidR="00774E74" w:rsidRDefault="009C6287">
            <w:pPr>
              <w:pStyle w:val="02TEXTOITEM"/>
            </w:pPr>
            <w:r>
      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:rsidR="00774E74" w:rsidRDefault="009C6287">
            <w:pPr>
              <w:pStyle w:val="02TEXTOITEM"/>
            </w:pPr>
            <w:r>
              <w:t>4. Utilizar diferentes linguagens – verbal (oral ou visual-motora, como Libras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:rsidR="00774E74" w:rsidRDefault="009C6287">
            <w:pPr>
              <w:pStyle w:val="02TEXTOITEM"/>
            </w:pPr>
            <w:r>
      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</w:tc>
      </w:tr>
    </w:tbl>
    <w:p w:rsidR="00774E74" w:rsidRDefault="009C6287">
      <w:pPr>
        <w:pStyle w:val="06CREDITO"/>
        <w:ind w:left="8647" w:right="-851"/>
        <w:jc w:val="center"/>
      </w:pPr>
      <w:r>
        <w:t>(continua)</w:t>
      </w:r>
    </w:p>
    <w:p w:rsidR="00774E74" w:rsidRDefault="009C6287">
      <w:pPr>
        <w:pStyle w:val="06CREDITO"/>
        <w:ind w:right="-851"/>
        <w:jc w:val="both"/>
      </w:pPr>
      <w:r>
        <w:br w:type="page"/>
      </w:r>
    </w:p>
    <w:p w:rsidR="00774E74" w:rsidRDefault="00774E74"/>
    <w:p w:rsidR="00774E74" w:rsidRDefault="009C6287">
      <w:pPr>
        <w:pStyle w:val="06CREDITO"/>
        <w:ind w:left="8222" w:right="-851"/>
        <w:jc w:val="center"/>
      </w:pPr>
      <w:r>
        <w:t>(continuação)</w:t>
      </w:r>
    </w:p>
    <w:tbl>
      <w:tblPr>
        <w:tblStyle w:val="Tabelacomgrade"/>
        <w:tblW w:w="10194" w:type="dxa"/>
        <w:tblLook w:val="04A0" w:firstRow="1" w:lastRow="0" w:firstColumn="1" w:lastColumn="0" w:noHBand="0" w:noVBand="1"/>
      </w:tblPr>
      <w:tblGrid>
        <w:gridCol w:w="3112"/>
        <w:gridCol w:w="7082"/>
      </w:tblGrid>
      <w:tr w:rsidR="00774E74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774E74" w:rsidRDefault="00774E74">
            <w:pPr>
              <w:pStyle w:val="03TITULOTABELAS2"/>
            </w:pP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2TEXTOITEM"/>
            </w:pPr>
            <w:r>
      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:rsidR="00774E74" w:rsidRDefault="009C6287">
            <w:pPr>
              <w:pStyle w:val="02TEXTOITEM"/>
            </w:pPr>
            <w:r>
              <w:t>8.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:rsidR="00774E74" w:rsidRDefault="009C6287">
            <w:pPr>
              <w:pStyle w:val="02TEXTOITEM"/>
              <w:spacing w:before="0" w:line="240" w:lineRule="auto"/>
              <w:rPr>
                <w:highlight w:val="yellow"/>
              </w:rPr>
            </w:pPr>
            <w: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774E74">
        <w:tc>
          <w:tcPr>
            <w:tcW w:w="3112" w:type="dxa"/>
            <w:shd w:val="clear" w:color="auto" w:fill="auto"/>
            <w:tcMar>
              <w:left w:w="108" w:type="dxa"/>
            </w:tcMar>
            <w:vAlign w:val="center"/>
          </w:tcPr>
          <w:p w:rsidR="00774E74" w:rsidRDefault="009C6287">
            <w:pPr>
              <w:pStyle w:val="03TITULOTABELAS2"/>
            </w:pPr>
            <w:r>
              <w:t>Competências específicas</w:t>
            </w:r>
          </w:p>
        </w:tc>
        <w:tc>
          <w:tcPr>
            <w:tcW w:w="7081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rPr>
                <w:b/>
              </w:rPr>
            </w:pPr>
            <w:r>
              <w:rPr>
                <w:b/>
              </w:rPr>
              <w:t>Língua Inglesa</w:t>
            </w:r>
          </w:p>
          <w:p w:rsidR="00774E74" w:rsidRDefault="009C6287">
            <w:pPr>
              <w:pStyle w:val="02TEXTOITEM"/>
            </w:pPr>
            <w:r>
      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      </w:r>
          </w:p>
          <w:p w:rsidR="00774E74" w:rsidRDefault="009C6287">
            <w:pPr>
              <w:pStyle w:val="02TEXTOITEM"/>
            </w:pPr>
            <w:r>
              <w:t>5. Utilizar novas tecnologias, com novas linguagens e modos de interação, para pesquisar, selecionar, compartilhar, posicionar-se e produzir sentidos em práticas de letramento na Língua Inglesa, de forma ética, crítica e responsável.</w:t>
            </w:r>
          </w:p>
          <w:p w:rsidR="00774E74" w:rsidRDefault="009C6287">
            <w:pPr>
              <w:pStyle w:val="04TEXTOTABELAS"/>
            </w:pPr>
            <w:r>
              <w:rPr>
                <w:b/>
              </w:rPr>
              <w:t>Ciências da Natureza</w:t>
            </w:r>
          </w:p>
          <w:p w:rsidR="00774E74" w:rsidRDefault="009C6287">
            <w:pPr>
              <w:pStyle w:val="02TEXTOITEM"/>
            </w:pPr>
            <w:r>
              <w:t>5. Construir argumentos com base em dados, evidências e informações confiáveis e negociar e defender ideias e pontos de vista que promovam a consciência socioambiental e o respeito a si próprio e ao outro, acolhendo e valorizando a diversidade de indivíduos e de grupos sociais, sem preconceitos de qualquer natureza.</w:t>
            </w:r>
          </w:p>
          <w:p w:rsidR="00774E74" w:rsidRDefault="009C6287">
            <w:pPr>
              <w:pStyle w:val="02TEXTOITEM"/>
            </w:pPr>
            <w:r>
              <w:t>6. Utilizar diferentes linguagens e tecnologias digitais de informação e comunicação para se comunicar, acessar e disseminar informações, produzir conhecimentos e resolver problemas das Ciências da Natureza de forma crítica, significativa, reflexiva e ética.</w:t>
            </w:r>
          </w:p>
          <w:p w:rsidR="00774E74" w:rsidRDefault="009C6287">
            <w:pPr>
              <w:pStyle w:val="02TEXTOITEM"/>
            </w:pPr>
            <w:r>
              <w:t>8. Agir pessoal e coletivamente com respeito, autonomia, responsabilidade, flexibilidade, resiliência e determinação, recorrendo aos conhecimentos das Ciências da Natureza para tomar decisões frente a questões científico-tecnológicas e socioambientais e a respeito da saúde individual e coletiva, com base em princípios éticos, democráticos, sustentáveis e solidários.</w:t>
            </w:r>
          </w:p>
          <w:p w:rsidR="00774E74" w:rsidRDefault="009C6287">
            <w:pPr>
              <w:pStyle w:val="04TEXTOTABELAS"/>
              <w:rPr>
                <w:b/>
              </w:rPr>
            </w:pPr>
            <w:r>
              <w:rPr>
                <w:b/>
              </w:rPr>
              <w:t>Geografia</w:t>
            </w:r>
          </w:p>
          <w:p w:rsidR="00774E74" w:rsidRDefault="009C6287">
            <w:pPr>
              <w:pStyle w:val="02TEXTOITEM"/>
              <w:rPr>
                <w:highlight w:val="yellow"/>
              </w:rPr>
            </w:pPr>
            <w:r>
              <w:t>5. Desenvolver e utilizar processos, práticas e procedimentos de investigação para compreender o mundo natural, social, econômico, político e o meio técnico-científico e informacional, avaliar ações e propor perguntas e soluções (inclusive tecnológicas) para questões que requerem conhecimentos científicos da Geografia.</w:t>
            </w:r>
          </w:p>
        </w:tc>
      </w:tr>
    </w:tbl>
    <w:p w:rsidR="00774E74" w:rsidRDefault="009C6287">
      <w:pPr>
        <w:pStyle w:val="02TEXTOPRINCIPAL"/>
      </w:pPr>
      <w:r>
        <w:br w:type="page"/>
      </w:r>
    </w:p>
    <w:p w:rsidR="00774E74" w:rsidRDefault="00774E74">
      <w:pPr>
        <w:pStyle w:val="02TEXTOITEM"/>
      </w:pPr>
    </w:p>
    <w:tbl>
      <w:tblPr>
        <w:tblStyle w:val="Tabelacomgrade"/>
        <w:tblW w:w="10194" w:type="dxa"/>
        <w:tblLook w:val="04A0" w:firstRow="1" w:lastRow="0" w:firstColumn="1" w:lastColumn="0" w:noHBand="0" w:noVBand="1"/>
      </w:tblPr>
      <w:tblGrid>
        <w:gridCol w:w="3112"/>
        <w:gridCol w:w="7082"/>
      </w:tblGrid>
      <w:tr w:rsidR="00774E74">
        <w:tc>
          <w:tcPr>
            <w:tcW w:w="10193" w:type="dxa"/>
            <w:gridSpan w:val="2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3TITULOTABELAS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Objetos de conhecimento e Habilidades</w:t>
            </w:r>
          </w:p>
        </w:tc>
      </w:tr>
      <w:tr w:rsidR="00774E74">
        <w:tc>
          <w:tcPr>
            <w:tcW w:w="3112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Funções e usos da Língua Inglesa: persuasão.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Compreensão de textos orais, multimodais, de cunho argumentativo.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Produção de textos orais com autonomia.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Recursos de argumentação.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Informações em ambientes virtuais.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Reflexão pós-leitura.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Escrita: construção da argumentação.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Produção de textos escritos, com mediação do professor/colegas.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Conectores (</w:t>
            </w:r>
            <w:r>
              <w:rPr>
                <w:rFonts w:eastAsia="Tahoma"/>
                <w:i/>
              </w:rPr>
              <w:t>linking words</w:t>
            </w:r>
            <w:r>
              <w:rPr>
                <w:rFonts w:eastAsia="Tahoma"/>
              </w:rPr>
              <w:t>).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Orações condicionais (tipos 1 e 2).</w:t>
            </w:r>
          </w:p>
          <w:p w:rsidR="00774E74" w:rsidRDefault="009C6287">
            <w:pPr>
              <w:suppressAutoHyphens/>
              <w:rPr>
                <w:rFonts w:eastAsia="Tahoma"/>
                <w:lang w:val="en-US"/>
              </w:rPr>
            </w:pPr>
            <w:r>
              <w:rPr>
                <w:rFonts w:eastAsia="Tahoma"/>
                <w:lang w:val="en-US"/>
              </w:rPr>
              <w:t xml:space="preserve">Verbos modais: </w:t>
            </w:r>
            <w:r>
              <w:rPr>
                <w:rFonts w:eastAsia="Tahoma"/>
                <w:i/>
                <w:lang w:val="en-US"/>
              </w:rPr>
              <w:t>should</w:t>
            </w:r>
            <w:r>
              <w:rPr>
                <w:rFonts w:eastAsia="Tahoma"/>
                <w:lang w:val="en-US"/>
              </w:rPr>
              <w:t xml:space="preserve">, </w:t>
            </w:r>
            <w:r>
              <w:rPr>
                <w:rFonts w:eastAsia="Tahoma"/>
                <w:i/>
                <w:lang w:val="en-US"/>
              </w:rPr>
              <w:t>must</w:t>
            </w:r>
            <w:r>
              <w:rPr>
                <w:rFonts w:eastAsia="Tahoma"/>
                <w:lang w:val="en-US"/>
              </w:rPr>
              <w:t xml:space="preserve">, </w:t>
            </w:r>
            <w:r>
              <w:rPr>
                <w:rFonts w:eastAsia="Tahoma"/>
                <w:i/>
                <w:lang w:val="en-US"/>
              </w:rPr>
              <w:t>have</w:t>
            </w:r>
            <w:r>
              <w:rPr>
                <w:rFonts w:eastAsia="Tahoma"/>
                <w:lang w:val="en-US"/>
              </w:rPr>
              <w:t xml:space="preserve"> </w:t>
            </w:r>
            <w:r>
              <w:rPr>
                <w:rFonts w:eastAsia="Tahoma"/>
                <w:i/>
                <w:lang w:val="en-US"/>
              </w:rPr>
              <w:t>to</w:t>
            </w:r>
            <w:r>
              <w:rPr>
                <w:rFonts w:eastAsia="Tahoma"/>
                <w:lang w:val="en-US"/>
              </w:rPr>
              <w:t xml:space="preserve">, </w:t>
            </w:r>
            <w:r>
              <w:rPr>
                <w:rFonts w:eastAsia="Tahoma"/>
                <w:i/>
                <w:lang w:val="en-US"/>
              </w:rPr>
              <w:t>may</w:t>
            </w:r>
            <w:r>
              <w:rPr>
                <w:rFonts w:eastAsia="Tahoma"/>
                <w:lang w:val="en-US"/>
              </w:rPr>
              <w:t xml:space="preserve"> e </w:t>
            </w:r>
            <w:r>
              <w:rPr>
                <w:rFonts w:eastAsia="Tahoma"/>
                <w:i/>
                <w:lang w:val="en-US"/>
              </w:rPr>
              <w:t>might</w:t>
            </w:r>
            <w:r>
              <w:rPr>
                <w:rFonts w:eastAsia="Tahoma"/>
                <w:lang w:val="en-US"/>
              </w:rPr>
              <w:t>.</w:t>
            </w:r>
          </w:p>
          <w:p w:rsidR="00774E74" w:rsidRDefault="00774E74">
            <w:pPr>
              <w:suppressAutoHyphens/>
              <w:rPr>
                <w:lang w:val="en-US"/>
              </w:rPr>
            </w:pPr>
          </w:p>
          <w:p w:rsidR="00774E74" w:rsidRDefault="00774E74">
            <w:pPr>
              <w:suppressAutoHyphens/>
            </w:pPr>
          </w:p>
          <w:p w:rsidR="00774E74" w:rsidRDefault="00774E74">
            <w:pPr>
              <w:rPr>
                <w:color w:val="414042"/>
                <w:w w:val="110"/>
                <w:sz w:val="20"/>
              </w:rPr>
            </w:pPr>
          </w:p>
        </w:tc>
        <w:tc>
          <w:tcPr>
            <w:tcW w:w="7081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EF09LI01</w:t>
            </w:r>
            <w:r>
              <w:rPr>
                <w:rFonts w:eastAsia="Tahoma"/>
              </w:rPr>
              <w:t>) Fazer uso da Língua Inglesa para expor pontos de vista, argumentos e contra-argumentos, considerando o contexto e os recursos linguísticos voltados para a eficácia da comunicação.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EF09LI02</w:t>
            </w:r>
            <w:r>
              <w:rPr>
                <w:rFonts w:eastAsia="Tahoma"/>
              </w:rPr>
              <w:t>) Compilar as ideias-chave de textos por meio de tomada de notas.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EF09LI03</w:t>
            </w:r>
            <w:r>
              <w:rPr>
                <w:rFonts w:eastAsia="Tahoma"/>
              </w:rPr>
              <w:t>) Analisar posicionamentos defendidos e refutados em textos orais sobre temas de interesse social e coletivo.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EF09LI04</w:t>
            </w:r>
            <w:r>
              <w:rPr>
                <w:rFonts w:eastAsia="Tahoma"/>
              </w:rPr>
              <w:t>) Expor resultados de pesquisa ou estudo com o apoio de recursos, tais como notas, gráficos, tabelas, entre outros, adequando as estratégias de construção do texto oral aos objetivos de comunicação e ao contexto.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EF09LI07</w:t>
            </w:r>
            <w:r>
              <w:rPr>
                <w:rFonts w:eastAsia="Tahoma"/>
              </w:rPr>
              <w:t>) Identificar argumentos principais e as evidências/exemplos que os sustentam.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EF09LI08</w:t>
            </w:r>
            <w:r>
              <w:rPr>
                <w:rFonts w:eastAsia="Tahoma"/>
              </w:rPr>
              <w:t>) Explorar ambientes virtuais de informação e socialização, analisando a qualidade e a validade das informações veiculadas.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EF09LI09</w:t>
            </w:r>
            <w:r>
              <w:rPr>
                <w:rFonts w:eastAsia="Tahoma"/>
              </w:rPr>
              <w:t>) Compartilhar, com os colegas, a leitura dos textos escritos pelo grupo, valorizando os diferentes pontos de vista defendidos, com ética e respeito.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EF09LI10</w:t>
            </w:r>
            <w:r>
              <w:rPr>
                <w:rFonts w:eastAsia="Tahoma"/>
              </w:rPr>
              <w:t>) Propor potenciais argumentos para expor e defender ponto de vista em texto escrito, refletindo sobre o tema proposto e pesquisando dados, evidências e exemplos para sustentar os argumentos, organizando-os em sequência lógica.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EF09LI12</w:t>
            </w:r>
            <w:r>
              <w:rPr>
                <w:rFonts w:eastAsia="Tahoma"/>
              </w:rPr>
              <w:t xml:space="preserve">) Produzir textos (infográficos, fóruns de discussão </w:t>
            </w:r>
            <w:r>
              <w:rPr>
                <w:rFonts w:eastAsia="Tahoma"/>
                <w:i/>
              </w:rPr>
              <w:t>on-line</w:t>
            </w:r>
            <w:r>
              <w:rPr>
                <w:rFonts w:eastAsia="Tahoma"/>
              </w:rPr>
              <w:t xml:space="preserve">, fotorreportagens, campanhas publicitárias, </w:t>
            </w:r>
            <w:r>
              <w:rPr>
                <w:rFonts w:eastAsia="Tahoma"/>
                <w:i/>
              </w:rPr>
              <w:t>memes</w:t>
            </w:r>
            <w:r>
              <w:rPr>
                <w:rFonts w:eastAsia="Tahoma"/>
              </w:rPr>
              <w:t>, entre outros) sobre temas de interesse coletivo local ou global, que revelem posicionamento crítico.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EF09LI14</w:t>
            </w:r>
            <w:r>
              <w:rPr>
                <w:rFonts w:eastAsia="Tahoma"/>
              </w:rPr>
              <w:t>) Utilizar conectores indicadores de adição, condição, oposição, contraste, conclusão e síntese como auxiliares na construção da argumentação e intencionalidade discursiva.</w:t>
            </w:r>
          </w:p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EF09LI15</w:t>
            </w:r>
            <w:r>
              <w:rPr>
                <w:rFonts w:eastAsia="Tahoma"/>
              </w:rPr>
              <w:t>) Empregar, de modo inteligível, as formas verbais em orações condicionais dos tipos 1 e 2 (</w:t>
            </w:r>
            <w:r>
              <w:rPr>
                <w:rFonts w:eastAsia="Tahoma"/>
                <w:i/>
              </w:rPr>
              <w:t>If-clauses</w:t>
            </w:r>
            <w:r>
              <w:rPr>
                <w:rFonts w:eastAsia="Tahoma"/>
              </w:rPr>
              <w:t>).</w:t>
            </w:r>
          </w:p>
          <w:p w:rsidR="00774E74" w:rsidRDefault="009C6287">
            <w:pPr>
              <w:suppressAutoHyphens/>
            </w:pPr>
            <w:r>
              <w:rPr>
                <w:rFonts w:eastAsia="Tahoma"/>
              </w:rPr>
              <w:t>(</w:t>
            </w:r>
            <w:r>
              <w:rPr>
                <w:rFonts w:eastAsia="Tahoma"/>
                <w:b/>
              </w:rPr>
              <w:t>EF09LI16</w:t>
            </w:r>
            <w:r>
              <w:rPr>
                <w:rFonts w:eastAsia="Tahoma"/>
              </w:rPr>
              <w:t xml:space="preserve">) Empregar, de modo inteligível, os verbos </w:t>
            </w:r>
            <w:r>
              <w:rPr>
                <w:rFonts w:eastAsia="Tahoma"/>
                <w:i/>
              </w:rPr>
              <w:t>should</w:t>
            </w:r>
            <w:r>
              <w:rPr>
                <w:rFonts w:eastAsia="Tahoma"/>
              </w:rPr>
              <w:t xml:space="preserve">, </w:t>
            </w:r>
            <w:r>
              <w:rPr>
                <w:rFonts w:eastAsia="Tahoma"/>
                <w:i/>
              </w:rPr>
              <w:t>must</w:t>
            </w:r>
            <w:r>
              <w:rPr>
                <w:rFonts w:eastAsia="Tahoma"/>
              </w:rPr>
              <w:t xml:space="preserve">, </w:t>
            </w:r>
            <w:r>
              <w:rPr>
                <w:rFonts w:eastAsia="Tahoma"/>
                <w:i/>
              </w:rPr>
              <w:t>have</w:t>
            </w:r>
            <w:r>
              <w:rPr>
                <w:rFonts w:eastAsia="Tahoma"/>
              </w:rPr>
              <w:t xml:space="preserve"> </w:t>
            </w:r>
            <w:r>
              <w:rPr>
                <w:rFonts w:eastAsia="Tahoma"/>
                <w:i/>
              </w:rPr>
              <w:t>to</w:t>
            </w:r>
            <w:r>
              <w:rPr>
                <w:rFonts w:eastAsia="Tahoma"/>
              </w:rPr>
              <w:t xml:space="preserve">, </w:t>
            </w:r>
            <w:r>
              <w:rPr>
                <w:rFonts w:eastAsia="Tahoma"/>
                <w:i/>
              </w:rPr>
              <w:t>may</w:t>
            </w:r>
            <w:r>
              <w:rPr>
                <w:rFonts w:eastAsia="Tahoma"/>
              </w:rPr>
              <w:t xml:space="preserve"> e </w:t>
            </w:r>
            <w:r>
              <w:rPr>
                <w:rFonts w:eastAsia="Tahoma"/>
                <w:i/>
              </w:rPr>
              <w:t>might</w:t>
            </w:r>
            <w:r>
              <w:rPr>
                <w:rFonts w:eastAsia="Tahoma"/>
              </w:rPr>
              <w:t xml:space="preserve"> para indicar recomendação, necessidade ou obrigação e probabilidade.</w:t>
            </w:r>
          </w:p>
        </w:tc>
      </w:tr>
      <w:tr w:rsidR="00774E74">
        <w:tc>
          <w:tcPr>
            <w:tcW w:w="311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suppressAutoHyphens/>
              <w:rPr>
                <w:w w:val="110"/>
              </w:rPr>
            </w:pPr>
            <w:r>
              <w:rPr>
                <w:w w:val="110"/>
              </w:rPr>
              <w:t>Preservação da biodiversidade.</w:t>
            </w:r>
          </w:p>
          <w:p w:rsidR="00774E74" w:rsidRDefault="00774E74">
            <w:pPr>
              <w:suppressAutoHyphens/>
              <w:rPr>
                <w:rFonts w:eastAsia="Tahoma"/>
              </w:rPr>
            </w:pPr>
          </w:p>
        </w:tc>
        <w:tc>
          <w:tcPr>
            <w:tcW w:w="7081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</w:pPr>
            <w:r>
              <w:t>(</w:t>
            </w:r>
            <w:r>
              <w:rPr>
                <w:b/>
              </w:rPr>
              <w:t>EF09CI13</w:t>
            </w:r>
            <w:r>
              <w:t>) Propor iniciativas individuais e coletivas para a solução de problemas ambientais da cidade ou da comunidade, com base na análise de ações de consumo consciente e de sustentabilidade bem-sucedidas.</w:t>
            </w:r>
          </w:p>
        </w:tc>
      </w:tr>
      <w:tr w:rsidR="00774E74">
        <w:tc>
          <w:tcPr>
            <w:tcW w:w="3112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suppressAutoHyphens/>
              <w:rPr>
                <w:rFonts w:eastAsia="Tahoma"/>
              </w:rPr>
            </w:pPr>
            <w:r>
              <w:t>Integração mundial e suas interpretações: globalização e mundialização.</w:t>
            </w:r>
          </w:p>
        </w:tc>
        <w:tc>
          <w:tcPr>
            <w:tcW w:w="7081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74E74" w:rsidRDefault="009C6287">
            <w:pPr>
              <w:suppressAutoHyphens/>
              <w:rPr>
                <w:rFonts w:eastAsia="Tahoma"/>
              </w:rPr>
            </w:pPr>
            <w:r>
              <w:rPr>
                <w:color w:val="000000"/>
              </w:rPr>
              <w:t>(</w:t>
            </w:r>
            <w:r>
              <w:rPr>
                <w:b/>
                <w:color w:val="000000"/>
              </w:rPr>
              <w:t>EF09GE05</w:t>
            </w:r>
            <w:r>
              <w:rPr>
                <w:color w:val="000000"/>
              </w:rPr>
              <w:t>) Analisar fatos e situações para compreender a integração mundial (econômica, política e cultural), comparando as diferentes interpretações: globalização e mundialização.</w:t>
            </w:r>
          </w:p>
        </w:tc>
      </w:tr>
    </w:tbl>
    <w:p w:rsidR="00774E74" w:rsidRDefault="00774E74"/>
    <w:p w:rsidR="00774E74" w:rsidRDefault="009C6287">
      <w:pPr>
        <w:pStyle w:val="01TITULO4"/>
      </w:pPr>
      <w:r>
        <w:t xml:space="preserve">Objetivos </w:t>
      </w:r>
    </w:p>
    <w:p w:rsidR="00774E74" w:rsidRDefault="009C6287">
      <w:pPr>
        <w:pStyle w:val="02TEXTOPRINCIPALBULLET"/>
        <w:numPr>
          <w:ilvl w:val="0"/>
          <w:numId w:val="1"/>
        </w:numPr>
        <w:jc w:val="both"/>
        <w:textAlignment w:val="baseline"/>
      </w:pPr>
      <w:r>
        <w:t>Promover o conhecimento sobre o que é consumo consciente, como esse conceito está ligado à globalização e como ele pode ser posto em prática.</w:t>
      </w:r>
    </w:p>
    <w:p w:rsidR="00774E74" w:rsidRDefault="009C6287">
      <w:pPr>
        <w:pStyle w:val="02TEXTOPRINCIPALBULLET"/>
        <w:numPr>
          <w:ilvl w:val="0"/>
          <w:numId w:val="1"/>
        </w:numPr>
        <w:jc w:val="both"/>
        <w:textAlignment w:val="baseline"/>
      </w:pPr>
      <w:r>
        <w:t>Elaborar uma cartilha sobre o que é consumo consciente, com dicas de como ele pode ser praticado.</w:t>
      </w:r>
    </w:p>
    <w:p w:rsidR="00774E74" w:rsidRDefault="009C6287">
      <w:pPr>
        <w:pStyle w:val="02TEXTOPRINCIPAL"/>
      </w:pPr>
      <w:r>
        <w:br w:type="page"/>
      </w:r>
    </w:p>
    <w:p w:rsidR="00774E74" w:rsidRDefault="00774E74">
      <w:pPr>
        <w:pStyle w:val="02TEXTOPRINCIPAL"/>
        <w:rPr>
          <w:sz w:val="20"/>
          <w:szCs w:val="20"/>
        </w:rPr>
      </w:pPr>
    </w:p>
    <w:p w:rsidR="00774E74" w:rsidRDefault="009C6287">
      <w:pPr>
        <w:pStyle w:val="01TITULO4"/>
      </w:pPr>
      <w:r>
        <w:t>Programação</w:t>
      </w:r>
    </w:p>
    <w:p w:rsidR="00774E74" w:rsidRDefault="00774E74">
      <w:pPr>
        <w:pStyle w:val="02TEXTOPRINCIPAL"/>
      </w:pPr>
    </w:p>
    <w:tbl>
      <w:tblPr>
        <w:tblStyle w:val="Tabelacomgrade"/>
        <w:tblW w:w="7508" w:type="dxa"/>
        <w:jc w:val="center"/>
        <w:tblLook w:val="04A0" w:firstRow="1" w:lastRow="0" w:firstColumn="1" w:lastColumn="0" w:noHBand="0" w:noVBand="1"/>
      </w:tblPr>
      <w:tblGrid>
        <w:gridCol w:w="3941"/>
        <w:gridCol w:w="3567"/>
      </w:tblGrid>
      <w:tr w:rsidR="00774E74">
        <w:trPr>
          <w:jc w:val="center"/>
        </w:trPr>
        <w:tc>
          <w:tcPr>
            <w:tcW w:w="7507" w:type="dxa"/>
            <w:gridSpan w:val="2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3TITULOTABELAS1"/>
              <w:spacing w:line="240" w:lineRule="auto"/>
            </w:pPr>
            <w:r>
              <w:t>Duração do projeto: 6 aulas de aproximadamente 50 minutos</w:t>
            </w:r>
          </w:p>
        </w:tc>
      </w:tr>
      <w:tr w:rsidR="00774E74">
        <w:trPr>
          <w:jc w:val="center"/>
        </w:trPr>
        <w:tc>
          <w:tcPr>
            <w:tcW w:w="3940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spacing w:line="240" w:lineRule="auto"/>
              <w:jc w:val="center"/>
            </w:pPr>
            <w:r>
              <w:t>1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jc w:val="center"/>
            </w:pPr>
            <w:r>
              <w:t>1 aula</w:t>
            </w:r>
          </w:p>
        </w:tc>
      </w:tr>
      <w:tr w:rsidR="00774E74">
        <w:trPr>
          <w:jc w:val="center"/>
        </w:trPr>
        <w:tc>
          <w:tcPr>
            <w:tcW w:w="3940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spacing w:line="240" w:lineRule="auto"/>
              <w:jc w:val="center"/>
            </w:pPr>
            <w:r>
              <w:t>2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jc w:val="center"/>
            </w:pPr>
            <w:r>
              <w:t>2 aulas</w:t>
            </w:r>
          </w:p>
        </w:tc>
      </w:tr>
      <w:tr w:rsidR="00774E74">
        <w:trPr>
          <w:trHeight w:val="192"/>
          <w:jc w:val="center"/>
        </w:trPr>
        <w:tc>
          <w:tcPr>
            <w:tcW w:w="3940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spacing w:line="240" w:lineRule="auto"/>
              <w:jc w:val="center"/>
            </w:pPr>
            <w:r>
              <w:t>3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jc w:val="center"/>
            </w:pPr>
            <w:r>
              <w:t>2 aulas</w:t>
            </w:r>
          </w:p>
        </w:tc>
      </w:tr>
      <w:tr w:rsidR="00774E74">
        <w:trPr>
          <w:trHeight w:val="77"/>
          <w:jc w:val="center"/>
        </w:trPr>
        <w:tc>
          <w:tcPr>
            <w:tcW w:w="3940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spacing w:line="240" w:lineRule="auto"/>
              <w:jc w:val="center"/>
            </w:pPr>
            <w:r>
              <w:t>Avaliação das aprendizagens</w:t>
            </w:r>
          </w:p>
        </w:tc>
        <w:tc>
          <w:tcPr>
            <w:tcW w:w="3567" w:type="dxa"/>
            <w:shd w:val="clear" w:color="auto" w:fill="auto"/>
            <w:tcMar>
              <w:left w:w="108" w:type="dxa"/>
            </w:tcMar>
          </w:tcPr>
          <w:p w:rsidR="00774E74" w:rsidRDefault="009C6287">
            <w:pPr>
              <w:pStyle w:val="04TEXTOTABELAS"/>
              <w:jc w:val="center"/>
            </w:pPr>
            <w:r>
              <w:t>1 aula</w:t>
            </w:r>
          </w:p>
        </w:tc>
      </w:tr>
    </w:tbl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Materiais a serem utilizados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  <w:rPr>
          <w:b/>
        </w:rPr>
      </w:pPr>
      <w:r>
        <w:t>Caderno ou folhas pautadas para registro.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>Lápis, borracha, lápis de cor, tesoura com pontas arredondadas e cartolina.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>Equipamento de reprodução de vídeo (opcional).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 xml:space="preserve">Computadores com acesso à internet, impressora e </w:t>
      </w:r>
      <w:r>
        <w:rPr>
          <w:i/>
        </w:rPr>
        <w:t>scanner</w:t>
      </w:r>
      <w:r>
        <w:t xml:space="preserve"> (opcionais).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>Dispositivos de gravação de vídeo (opcional).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Produto/s final/is</w:t>
      </w:r>
    </w:p>
    <w:p w:rsidR="00774E74" w:rsidRDefault="009C6287">
      <w:pPr>
        <w:pStyle w:val="02TEXTOPRINCIPAL"/>
      </w:pPr>
      <w:r>
        <w:t>Uma cartilha sobre consumo consciente.</w:t>
      </w:r>
    </w:p>
    <w:p w:rsidR="00774E74" w:rsidRDefault="009C6287">
      <w:pPr>
        <w:pStyle w:val="02TEXTOPRINCIPAL"/>
      </w:pPr>
      <w:r>
        <w:t xml:space="preserve">Um evento com </w:t>
      </w:r>
      <w:r>
        <w:rPr>
          <w:i/>
        </w:rPr>
        <w:t>sketches</w:t>
      </w:r>
      <w:r>
        <w:t xml:space="preserve"> sobre consumo consciente. (opcional)</w:t>
      </w:r>
    </w:p>
    <w:p w:rsidR="00774E74" w:rsidRDefault="00774E74">
      <w:pPr>
        <w:rPr>
          <w:rFonts w:asciiTheme="minorHAnsi" w:hAnsiTheme="minorHAnsi" w:cstheme="minorHAnsi"/>
          <w:sz w:val="22"/>
          <w:szCs w:val="22"/>
        </w:rPr>
      </w:pPr>
    </w:p>
    <w:p w:rsidR="00774E74" w:rsidRDefault="009C6287">
      <w:pPr>
        <w:pStyle w:val="01TITULO4"/>
      </w:pPr>
      <w:r>
        <w:t>Fase de preparação do projeto</w:t>
      </w:r>
    </w:p>
    <w:p w:rsidR="00774E74" w:rsidRDefault="009C6287">
      <w:pPr>
        <w:pStyle w:val="02TEXTOPRINCIPAL"/>
      </w:pPr>
      <w:r>
        <w:t xml:space="preserve">Selecionar um texto que ofereça uma visão geral sobre o que é consumo consciente. Preparar algumas questões de compreensão global do conteúdo e para reflexão sobre a importância do consumo consciente para a comunidade local e para o mundo. </w:t>
      </w:r>
    </w:p>
    <w:p w:rsidR="00774E74" w:rsidRDefault="009C6287">
      <w:pPr>
        <w:pStyle w:val="02TEXTOPRINCIPAL"/>
      </w:pPr>
      <w:r>
        <w:t xml:space="preserve"> </w:t>
      </w:r>
    </w:p>
    <w:p w:rsidR="00774E74" w:rsidRDefault="009C6287">
      <w:pPr>
        <w:pStyle w:val="02TEXTOPRINCIPAL"/>
      </w:pPr>
      <w:r>
        <w:t>Preparar uma lista com sugestõe</w:t>
      </w:r>
      <w:bookmarkStart w:id="0" w:name="_GoBack"/>
      <w:bookmarkEnd w:id="0"/>
      <w:r>
        <w:t>s de bibliografia, se possível validada pelos/as professores/professor</w:t>
      </w:r>
      <w:r w:rsidR="0017247C">
        <w:t>a</w:t>
      </w:r>
      <w:r w:rsidR="00D65193">
        <w:t>s</w:t>
      </w:r>
      <w:r>
        <w:t xml:space="preserve"> das disciplinas de Ciências da Natureza e Geografia, para ampliar o conhecimento dos/as estudantes sobre o tema e auxiliar na geração de ideias para a confecção da cartilha.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Selecionar o espaço para a apresentação dos </w:t>
      </w:r>
      <w:r>
        <w:rPr>
          <w:i/>
        </w:rPr>
        <w:t>sketches</w:t>
      </w:r>
      <w:r>
        <w:t>, preferencialmente com acesso livre à comunidade local. Estipular a data e o horário do evento e reservar o espaço. (opcional)</w:t>
      </w:r>
    </w:p>
    <w:p w:rsidR="00774E74" w:rsidRDefault="00774E74">
      <w:pPr>
        <w:pStyle w:val="01TITULO4"/>
      </w:pPr>
    </w:p>
    <w:p w:rsidR="00774E74" w:rsidRDefault="009C6287">
      <w:pPr>
        <w:pStyle w:val="01TITULO2"/>
      </w:pPr>
      <w:r>
        <w:t>Fases de execução do projeto</w:t>
      </w:r>
    </w:p>
    <w:p w:rsidR="00774E74" w:rsidRDefault="00774E74">
      <w:pPr>
        <w:pStyle w:val="01TITULO3"/>
        <w:rPr>
          <w:rFonts w:asciiTheme="minorHAnsi" w:hAnsiTheme="minorHAnsi" w:cstheme="minorHAnsi"/>
          <w:sz w:val="22"/>
          <w:szCs w:val="22"/>
        </w:rPr>
      </w:pPr>
    </w:p>
    <w:p w:rsidR="00774E74" w:rsidRDefault="009C6287">
      <w:pPr>
        <w:pStyle w:val="01TITULO3"/>
      </w:pPr>
      <w:r>
        <w:t>1</w:t>
      </w:r>
      <w:r>
        <w:rPr>
          <w:u w:val="single"/>
          <w:vertAlign w:val="superscript"/>
        </w:rPr>
        <w:t>a</w:t>
      </w:r>
      <w:r>
        <w:t xml:space="preserve"> fase: aproximadamente 1 aula</w:t>
      </w:r>
    </w:p>
    <w:p w:rsidR="00774E74" w:rsidRDefault="00774E74">
      <w:pPr>
        <w:pStyle w:val="01TITULO4"/>
        <w:rPr>
          <w:rFonts w:ascii="Tahoma" w:hAnsi="Tahoma" w:cs="Tahoma"/>
          <w:sz w:val="20"/>
          <w:szCs w:val="20"/>
        </w:rPr>
      </w:pPr>
    </w:p>
    <w:p w:rsidR="00774E74" w:rsidRDefault="009C6287">
      <w:pPr>
        <w:pStyle w:val="01TITULO4"/>
        <w:rPr>
          <w:i/>
        </w:rPr>
      </w:pPr>
      <w:r>
        <w:t>Apresentação da proposta</w:t>
      </w:r>
    </w:p>
    <w:p w:rsidR="00774E74" w:rsidRDefault="009C6287">
      <w:pPr>
        <w:pStyle w:val="02TEXTOPRINCIPAL"/>
      </w:pPr>
      <w:r>
        <w:t xml:space="preserve">Escrever no quadro a expressão </w:t>
      </w:r>
      <w:r>
        <w:rPr>
          <w:i/>
        </w:rPr>
        <w:t>conscious consumption</w:t>
      </w:r>
      <w:r>
        <w:t xml:space="preserve"> e pedir aos/às estudantes que opinem sobre o seu significado. Distribuir o texto selecionado e pedir que o leiam e respondam às questões de compreensão global. Após a verificação da compreensão, solicitar que se organizem em grupos para discutir as questões para reflexão. </w:t>
      </w:r>
    </w:p>
    <w:p w:rsidR="00774E74" w:rsidRDefault="009C6287">
      <w:pPr>
        <w:pStyle w:val="02TEXTOPRINCIPAL"/>
      </w:pPr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Ao longo das atividades de reflexão, os/as estudantes devem ser levados a perceber que nossos hábitos de consumo têm impactos não somente locais, mas também globais. Os impactos locais podem ser sentidos, por exemplo, na escassez de recursos naturais como a água; no aumento das agressões ao meio ambiente na comunidade; na dificuldade da agricultura e manufatura locais por causa da concorrência externa. Já o impacto global está relacionado, por exemplo, com a quantidade de poluição que um produto importado gera a mais pelo seu transporte até o consumidor final do que um produto local. Além disso, se o produto vier de mercados que exploram mão de obra escrava, quando os adquirimos na nossa comunidade nos tornamos coniventes com essa prática nos mercados produtores, contribuindo para mantê-la.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Com base nas discussões, propor a elaboração de uma cartilha para conscientizar a comunidade sobre a importância do consumo consciente para o meio ambiente, a economia e a saúde. Para tanto, pedir aos/às estudantes que se reúnam em grupos e que sugiram e escolham um aspecto do consumo consciente que desejam explorar. Algumas sugestões, além das apresentadas pelos/as estudantes, podem incluir: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 xml:space="preserve">O consumo doméstico (de energia elétrica, água, gás, alimentos etc.) e as formas de evitar o desperdício e de melhor aproveitar esses recursos. 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>A produção de lixo doméstico e a poluição do meio ambiente, sugerindo formas de diminuição desses fatores (reciclagem, compostagem, descarte correto, reutilização, doação).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 xml:space="preserve">Hábitos de compras: </w:t>
      </w:r>
    </w:p>
    <w:p w:rsidR="00774E74" w:rsidRDefault="009C6287">
      <w:pPr>
        <w:pStyle w:val="02TEXTOPRINCIPALBULLET"/>
        <w:ind w:left="227" w:firstLine="0"/>
      </w:pPr>
      <w:r>
        <w:t xml:space="preserve">a) escolha por produtos </w:t>
      </w:r>
      <w:r>
        <w:rPr>
          <w:i/>
        </w:rPr>
        <w:t>eco-friendly</w:t>
      </w:r>
      <w:r>
        <w:t>: biodegradáveis, de fibras naturais, com embalagem reciclável ou feita de material reciclado;</w:t>
      </w:r>
    </w:p>
    <w:p w:rsidR="00774E74" w:rsidRDefault="009C6287">
      <w:pPr>
        <w:pStyle w:val="02TEXTOPRINCIPALBULLET"/>
        <w:ind w:left="227" w:firstLine="0"/>
      </w:pPr>
      <w:r>
        <w:t>b) escolha por produtos mais saudáveis (sem corantes/aditivos químicos/agrotóxicos/antibióticos, que não envolvam crueldade no trato com os animais etc.);</w:t>
      </w:r>
    </w:p>
    <w:p w:rsidR="00774E74" w:rsidRDefault="009C6287">
      <w:pPr>
        <w:pStyle w:val="02TEXTOPRINCIPALBULLET"/>
        <w:ind w:left="227" w:firstLine="0"/>
      </w:pPr>
      <w:r>
        <w:t>c) escolha por produtos locais (valorização da produção familiar e sustentável, diminuição da poluição envolvida no processo de transporte etc.);</w:t>
      </w:r>
    </w:p>
    <w:p w:rsidR="00774E74" w:rsidRDefault="009C6287">
      <w:pPr>
        <w:pStyle w:val="02TEXTOPRINCIPALBULLET"/>
        <w:ind w:left="227" w:firstLine="0"/>
      </w:pPr>
      <w:r>
        <w:t xml:space="preserve">d) escolha por produtos de empresas éticas (que não utilizem mão de obra infantil ou explorem o trabalho escravo, que degradem pouco o meio ambiente, que adotem uma política de repor o que for retirado da natureza, que não façam testes em animais etc.); </w:t>
      </w:r>
    </w:p>
    <w:p w:rsidR="00774E74" w:rsidRDefault="009C6287">
      <w:pPr>
        <w:pStyle w:val="02TEXTOPRINCIPALBULLET"/>
        <w:ind w:left="227" w:firstLine="0"/>
      </w:pPr>
      <w:r>
        <w:t xml:space="preserve">e) práticas que ajudam na diminuição da degradação do meio ambiente, como usar sacolas recicláveis e reutilizáveis.  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 xml:space="preserve">O poder de sedução da propaganda e o incentivo ao consumo. 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Explicar aos/às estudantes que a cartilha deverá ter, pelo menos, dois tipos de conteúdo: (a) informações, estatísticas e gráficos que ajudem a comunidade a perceber a importância do tema e (b) sugestões de hábitos e atitudes para o consumidor consciente.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Outros conteúdos complementares que podem fazer parte da cartilha, a critério da turma, são: um glossário de termos relacionados ao assunto (</w:t>
      </w:r>
      <w:r>
        <w:rPr>
          <w:i/>
        </w:rPr>
        <w:t>carbon footprint</w:t>
      </w:r>
      <w:r>
        <w:t xml:space="preserve">, </w:t>
      </w:r>
      <w:r>
        <w:rPr>
          <w:i/>
        </w:rPr>
        <w:t>eco-friendly</w:t>
      </w:r>
      <w:r>
        <w:t xml:space="preserve">, </w:t>
      </w:r>
      <w:r>
        <w:rPr>
          <w:i/>
        </w:rPr>
        <w:t>food miles</w:t>
      </w:r>
      <w:r>
        <w:t xml:space="preserve">, </w:t>
      </w:r>
      <w:r>
        <w:rPr>
          <w:i/>
        </w:rPr>
        <w:t>voluntary simplicity</w:t>
      </w:r>
      <w:r>
        <w:t xml:space="preserve"> etc.); passatempos (cruzadinha com os termos do glossário, mensagem cifrada e </w:t>
      </w:r>
      <w:r>
        <w:rPr>
          <w:i/>
        </w:rPr>
        <w:t>spot the mistakes</w:t>
      </w:r>
      <w:r>
        <w:t xml:space="preserve"> que enfoquem atitudes em prol do consumo consciente); um teste de perfil para saber se o leitor é um consumidor consciente; </w:t>
      </w:r>
      <w:r>
        <w:rPr>
          <w:i/>
        </w:rPr>
        <w:t>links</w:t>
      </w:r>
      <w:r>
        <w:t xml:space="preserve"> de </w:t>
      </w:r>
      <w:r>
        <w:rPr>
          <w:i/>
        </w:rPr>
        <w:t>sites</w:t>
      </w:r>
      <w:r>
        <w:t xml:space="preserve"> que calculam a pegada de carbono e dão outras dicas para o consumidor.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  <w:rPr>
          <w:rFonts w:eastAsiaTheme="minorEastAsia"/>
        </w:rPr>
      </w:pPr>
      <w:r>
        <w:t xml:space="preserve">Dependendo do perfil da turma, também é possível propor que elaborem </w:t>
      </w:r>
      <w:r>
        <w:rPr>
          <w:i/>
        </w:rPr>
        <w:t xml:space="preserve">sketches </w:t>
      </w:r>
      <w:r>
        <w:t xml:space="preserve">para exibição em um evento público sobre o tema </w:t>
      </w:r>
      <w:r>
        <w:rPr>
          <w:i/>
        </w:rPr>
        <w:t xml:space="preserve">conscious consumption. </w:t>
      </w:r>
      <w:r>
        <w:t>Estes podem ser</w:t>
      </w:r>
      <w:r>
        <w:rPr>
          <w:i/>
        </w:rPr>
        <w:t xml:space="preserve"> </w:t>
      </w:r>
      <w:r>
        <w:t xml:space="preserve">escritos para (a) serem filmados com o celular ou (b) representados ao vivo. Os </w:t>
      </w:r>
      <w:r>
        <w:rPr>
          <w:i/>
        </w:rPr>
        <w:t xml:space="preserve">sketches </w:t>
      </w:r>
      <w:r>
        <w:t>podem seguir três modelos: retratar comportamentos de consumo inapropriados, seguidos dos respectivos comportamentos apropriados; retratar comportamentos de consumo inapropriados, seguidos de comentários sobre os comportamentos e sobre o que se deve fazer; retratar comportamentos de consumo inapropriados, seguidos de perguntas para a plateia sobre os problemas daqueles comportamentos e como corrigi-los.</w:t>
      </w:r>
    </w:p>
    <w:p w:rsidR="00774E74" w:rsidRDefault="009C6287">
      <w:pPr>
        <w:pStyle w:val="02TEXTOPRINCIPAL"/>
      </w:pPr>
      <w:r>
        <w:br w:type="page"/>
      </w:r>
    </w:p>
    <w:p w:rsidR="00774E74" w:rsidRDefault="00774E74">
      <w:pPr>
        <w:pStyle w:val="02TEXTOPRINCIPAL"/>
      </w:pPr>
    </w:p>
    <w:p w:rsidR="00774E74" w:rsidRDefault="009C6287">
      <w:pPr>
        <w:pStyle w:val="01TITULO3"/>
      </w:pPr>
      <w:r>
        <w:t>2</w:t>
      </w:r>
      <w:r>
        <w:rPr>
          <w:u w:val="single"/>
          <w:vertAlign w:val="superscript"/>
        </w:rPr>
        <w:t>a</w:t>
      </w:r>
      <w:r>
        <w:t xml:space="preserve"> fase: aproximadamente 2 aulas</w:t>
      </w:r>
    </w:p>
    <w:p w:rsidR="00774E74" w:rsidRDefault="00774E74">
      <w:pPr>
        <w:pStyle w:val="02TEXTOPRINCIPAL"/>
      </w:pPr>
    </w:p>
    <w:p w:rsidR="00774E74" w:rsidRDefault="009C6287">
      <w:pPr>
        <w:suppressAutoHyphens/>
      </w:pPr>
      <w:r>
        <w:t xml:space="preserve">Distribuir para cada grupo a lista com sugestões de referências para pesquisa. 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>Solicitar aos grupos que pesquisem informações em diferentes fontes. Se possível, utilizar o laboratório de informática e a biblioteca da escola. Monitorar a atividade, auxiliando na compreensão dos conteúdos e na realização das pesquisas. Alternativamente, indicar aos/às estudantes uma instituição local na qual possam acessar a internet e orientá-los/as quanto a consultas em bibliotecas públicas. As pesquisas podem contar com a ajuda dos/as professores/as das disciplinas de Ciências da Natureza e Geografia.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 xml:space="preserve">Após a coleta de informações, revisar com a turma os elementos característicos dos gêneros que comporão a cartilha (gráfico, texto descritivo, </w:t>
      </w:r>
      <w:r>
        <w:rPr>
          <w:i/>
        </w:rPr>
        <w:t>fact file</w:t>
      </w:r>
      <w:r>
        <w:t xml:space="preserve">, lista de recomendações etc.). Lembrar de revisar os gêneros dos conteúdos opcionais da cartilha, como a cruzadinha e a mensagem cifrada, caso optem pela inclusão dos passatempos. 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>Solicitar aos/às estudantes que redijam uma primeira versão dos textos para a cartilha, lembrando-</w:t>
      </w:r>
      <w:r>
        <w:br/>
        <w:t>-os sempre de creditar as fontes de pesquisa. Caso incluam os passatempos, solicitar aos grupos que elaborem também as respostas para eles.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 xml:space="preserve">Monitorar a execução das atividades, auxiliando sempre que necessário, e encorajar o uso de dicionários para sanar dúvidas sobre léxico, estruturas e características dos gêneros. Aproveitar a oportunidade para consolidar objetos de conhecimento do eixo linguístico, como os verbos modais para indicar obrigação/sugestão/proibição (nas listas de sugestões), conectores e outros que julgar pertinentes. 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 xml:space="preserve">Solicitar aos grupos que troquem a primeira versão do texto entre si e façam uma leitura crítica, apontando sugestões de melhoria e correções, caso necessário. 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>Pedir que selecionem imagens para ilustrar a cartilha, como as que mostram pessoas em atitudes positivas/negativas com relação ao consumo, ou as que retratam os resultados de más escolhas de consumo.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 xml:space="preserve">Solicitar aos grupos que juntem as partes da cartilha para a elaboração da versão final. Neste momento, pode-se solicitar a colaboração do/a professor/a da disciplina de Arte para auxiliar na escolha do projeto gráfico para a cartilha e orientar os/as estudantes na sua confecção. </w:t>
      </w:r>
    </w:p>
    <w:p w:rsidR="00774E74" w:rsidRDefault="00774E74">
      <w:pPr>
        <w:suppressAutoHyphens/>
      </w:pPr>
    </w:p>
    <w:p w:rsidR="00774E74" w:rsidRDefault="009C6287">
      <w:pPr>
        <w:suppressAutoHyphens/>
      </w:pPr>
      <w:r>
        <w:t xml:space="preserve">Caso tenham escolhido a criação de </w:t>
      </w:r>
      <w:r>
        <w:rPr>
          <w:i/>
        </w:rPr>
        <w:t>sketches</w:t>
      </w:r>
      <w:r>
        <w:t xml:space="preserve">, pedir que redijam os textos. Monitorar a execução da atividade, auxiliando sempre que necessário, principalmente com a pronúncia e entonação das falas nos textos. </w:t>
      </w:r>
    </w:p>
    <w:p w:rsidR="00774E74" w:rsidRDefault="00774E74">
      <w:pPr>
        <w:suppressAutoHyphens/>
      </w:pPr>
    </w:p>
    <w:p w:rsidR="00774E74" w:rsidRDefault="009C6287">
      <w:pPr>
        <w:pStyle w:val="02TEXTOPRINCIPAL"/>
      </w:pPr>
      <w:r>
        <w:t xml:space="preserve">Pedir aos/às estudantes que interpretem seus </w:t>
      </w:r>
      <w:r>
        <w:rPr>
          <w:i/>
        </w:rPr>
        <w:t>sketches</w:t>
      </w:r>
      <w:r>
        <w:t xml:space="preserve"> para a turma. Pedir aos/às colegas que estiverem assistindo que apresentem sugestões de correção e melhorias. Em seguida, solicitar a redação final dos textos.</w:t>
      </w:r>
    </w:p>
    <w:p w:rsidR="00774E74" w:rsidRDefault="00774E74">
      <w:pPr>
        <w:rPr>
          <w:sz w:val="20"/>
          <w:szCs w:val="20"/>
        </w:rPr>
      </w:pPr>
    </w:p>
    <w:p w:rsidR="00774E74" w:rsidRDefault="009C6287">
      <w:pPr>
        <w:pStyle w:val="01TITULO3"/>
      </w:pPr>
      <w:r>
        <w:t>3</w:t>
      </w:r>
      <w:r>
        <w:rPr>
          <w:u w:val="single"/>
          <w:vertAlign w:val="superscript"/>
        </w:rPr>
        <w:t>a</w:t>
      </w:r>
      <w:r>
        <w:t xml:space="preserve"> fase: aproximadamente 2 aulas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Caso opte por ter apenas a cartilha, solicitar à turma que disponibilize a cartilha </w:t>
      </w:r>
      <w:r>
        <w:rPr>
          <w:i/>
        </w:rPr>
        <w:t>on-line</w:t>
      </w:r>
      <w:r>
        <w:t xml:space="preserve"> por meio do </w:t>
      </w:r>
      <w:r>
        <w:rPr>
          <w:i/>
        </w:rPr>
        <w:t>site</w:t>
      </w:r>
      <w:r>
        <w:t xml:space="preserve"> da escola, por exemplo. Uma sugestão é pedir aos/às estudantes que passem nas salas de aula e expliquem para os/as colegas o que é consumo consciente, apresentando a cartilha e encorajando-os/as a lê-la em casa, com seus responsáveis.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Nesse caso, solicitar aos/às estudantes que decidam quem irá a qual turma e quando isso ocorrerá. Solicitar que redijam colaborativamente o texto oral para essa apresentação das cartilhas nas salas.</w:t>
      </w:r>
      <w:r>
        <w:br w:type="page"/>
      </w:r>
    </w:p>
    <w:p w:rsidR="00774E74" w:rsidRDefault="009C6287">
      <w:pPr>
        <w:pStyle w:val="02TEXTOPRINCIPAL"/>
      </w:pPr>
      <w:r>
        <w:lastRenderedPageBreak/>
        <w:t xml:space="preserve">Caso opte pelo evento para a comunidade, decidir com a turma quando será o evento, que horas ele iniciará e acabará, e a ordem de apresentação/exibição dos </w:t>
      </w:r>
      <w:r>
        <w:rPr>
          <w:i/>
        </w:rPr>
        <w:t>sketches</w:t>
      </w:r>
      <w:r>
        <w:t>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 xml:space="preserve">Solicitar aos/às estudantes que redijam colaborativamente o texto da apresentação do evento, incluindo as boas-vindas aos participantes, o objetivo do evento e quais serão os </w:t>
      </w:r>
      <w:r>
        <w:rPr>
          <w:i/>
        </w:rPr>
        <w:t>sketches</w:t>
      </w:r>
      <w:r>
        <w:t xml:space="preserve"> apresentados.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Em ambos os casos, monitorar a preparação dos textos, auxiliando quando necessário. Solicitar aos/às estudantes que pratiquem suas falas em voz alta, diante dos/as colegas, os/as quais deverão tecer comentários para a melhoria dos textos. Solicitar que façam os ajustem e pratiquem até se sentirem seguros/as.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Caso opte pelo evento, solicitar que preparem um convite virtual bilíngue para divulgá-lo na internet para o conhecimento da comunidade. Auxiliar na preparação e distribuição desse material.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</w:pPr>
      <w:r>
        <w:t>Culminância do projeto</w:t>
      </w:r>
    </w:p>
    <w:p w:rsidR="00774E74" w:rsidRDefault="009C6287">
      <w:pPr>
        <w:pStyle w:val="02TEXTOPRINCIPAL"/>
      </w:pPr>
      <w:r>
        <w:t xml:space="preserve">No dia combinado, orientar os/as estudantes a pedir permissão ao/à professor/a que estiver em sala para interromperem a aula e se apresentarem perante a turma. </w:t>
      </w:r>
    </w:p>
    <w:p w:rsidR="00774E74" w:rsidRDefault="00774E74">
      <w:pPr>
        <w:pStyle w:val="02TEXTOPRINCIPAL"/>
      </w:pPr>
    </w:p>
    <w:p w:rsidR="00774E74" w:rsidRDefault="009C6287">
      <w:pPr>
        <w:pStyle w:val="02TEXTOPRINCIPAL"/>
      </w:pPr>
      <w:r>
        <w:t>No dia do evento aberto à comunidade, orientar os/as estudantes a recepcionar o público e os convidados cordialmente e conduzir a apresentação do evento conforme combinado.</w:t>
      </w:r>
    </w:p>
    <w:p w:rsidR="00774E74" w:rsidRDefault="00774E74">
      <w:pPr>
        <w:pStyle w:val="02TEXTOPRINCIPAL"/>
      </w:pPr>
    </w:p>
    <w:p w:rsidR="00774E74" w:rsidRDefault="009C6287">
      <w:pPr>
        <w:pStyle w:val="01TITULO4"/>
        <w:rPr>
          <w:sz w:val="32"/>
          <w:szCs w:val="32"/>
        </w:rPr>
      </w:pPr>
      <w:r>
        <w:rPr>
          <w:sz w:val="32"/>
          <w:szCs w:val="32"/>
        </w:rPr>
        <w:t>Avaliação das aprendizagens: 1 aula</w:t>
      </w:r>
    </w:p>
    <w:p w:rsidR="00774E74" w:rsidRDefault="009C6287">
      <w:pPr>
        <w:pStyle w:val="02TEXTOPRINCIPALBULLET"/>
        <w:numPr>
          <w:ilvl w:val="0"/>
          <w:numId w:val="1"/>
        </w:numPr>
        <w:spacing w:line="240" w:lineRule="auto"/>
        <w:textAlignment w:val="baseline"/>
      </w:pPr>
      <w:r>
        <w:t xml:space="preserve">Ao longo de todo o processo, verificar se </w:t>
      </w:r>
      <w:r>
        <w:rPr>
          <w:rFonts w:eastAsiaTheme="minorEastAsia"/>
        </w:rPr>
        <w:t>os/as estudantes</w:t>
      </w:r>
      <w:r>
        <w:t xml:space="preserve"> contribuíram para a atividade e se participaram satisfatoriamente. Avaliar o comportamento deles/delas durante todo o trabalho, seu comprometimento e se contribuíram nas discussões em grupo de forma colaborativa e respeitosa.</w:t>
      </w:r>
    </w:p>
    <w:p w:rsidR="00774E74" w:rsidRDefault="009C6287">
      <w:pPr>
        <w:pStyle w:val="02TEXTOPRINCIPALBULLET"/>
        <w:numPr>
          <w:ilvl w:val="0"/>
          <w:numId w:val="1"/>
        </w:numPr>
        <w:spacing w:line="240" w:lineRule="auto"/>
        <w:textAlignment w:val="baseline"/>
      </w:pPr>
      <w:r>
        <w:t>Propor que avaliem o trabalho dos/as colegas, compondo, entre todos, uma avaliação do grupo. Para isso, apresentar critérios como participação, colaboração, organização, cumprimento de prazos, entre outros. Discutir os acertos e erros e propor que, juntos, pensem em maneiras de melhor realizar esse tipo de trabalho em uma próxima oportunidade.</w:t>
      </w:r>
    </w:p>
    <w:p w:rsidR="00774E74" w:rsidRDefault="009C6287">
      <w:pPr>
        <w:pStyle w:val="02TEXTOPRINCIPALBULLET"/>
        <w:numPr>
          <w:ilvl w:val="0"/>
          <w:numId w:val="1"/>
        </w:numPr>
        <w:textAlignment w:val="baseline"/>
      </w:pPr>
      <w:r>
        <w:t>Conduzir a autoavaliação por meio das seguintes perguntas a serem respondidas com “sim”, “em progresso” ou “não”:</w:t>
      </w:r>
    </w:p>
    <w:p w:rsidR="00774E74" w:rsidRDefault="00774E74">
      <w:pPr>
        <w:pStyle w:val="02TEXTOPRINCIPAL"/>
        <w:spacing w:before="0" w:line="240" w:lineRule="auto"/>
      </w:pPr>
    </w:p>
    <w:p w:rsidR="00774E74" w:rsidRDefault="009C6287">
      <w:pPr>
        <w:pStyle w:val="02TEXTOPRINCIPAL"/>
      </w:pPr>
      <w:r>
        <w:t>Expandi meus conhecimentos sobre o que é consumo consciente e como posso fazer a minha parte para ser um consumidor consciente?</w:t>
      </w:r>
    </w:p>
    <w:p w:rsidR="00774E74" w:rsidRDefault="009C6287">
      <w:pPr>
        <w:pStyle w:val="02TEXTOPRINCIPAL"/>
      </w:pPr>
      <w:r>
        <w:t>Contribuí com meu grupo na elaboração e organização da cartilha sobre consumo consciente?</w:t>
      </w:r>
    </w:p>
    <w:p w:rsidR="00774E74" w:rsidRDefault="009C6287">
      <w:pPr>
        <w:pStyle w:val="02TEXTOPRINCIPAL"/>
      </w:pPr>
      <w:r>
        <w:t>Colaborei no atendimento ao público e aos convidados durante a condução do evento? (opcional)</w:t>
      </w:r>
    </w:p>
    <w:p w:rsidR="00774E74" w:rsidRDefault="009C6287">
      <w:pPr>
        <w:pStyle w:val="02TEXTOPRINCIPAL"/>
      </w:pPr>
      <w:r>
        <w:br w:type="page"/>
      </w:r>
    </w:p>
    <w:p w:rsidR="00774E74" w:rsidRDefault="00774E74">
      <w:pPr>
        <w:pStyle w:val="02TEXTOPRINCIPALBULLET"/>
        <w:ind w:left="0" w:firstLine="0"/>
      </w:pPr>
    </w:p>
    <w:p w:rsidR="00774E74" w:rsidRDefault="009C6287">
      <w:pPr>
        <w:pStyle w:val="01TITULO4"/>
      </w:pPr>
      <w:r>
        <w:t>Referências bibliográficas</w:t>
      </w:r>
    </w:p>
    <w:p w:rsidR="00774E74" w:rsidRDefault="00774E74">
      <w:pPr>
        <w:pStyle w:val="02TEXTOPRINCIPALBULLET"/>
        <w:ind w:left="0" w:firstLine="0"/>
      </w:pP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 xml:space="preserve">BRASIL. </w:t>
      </w:r>
      <w:r>
        <w:rPr>
          <w:rFonts w:eastAsia="Cambria"/>
          <w:bCs/>
          <w:i/>
        </w:rPr>
        <w:t>Manual de educação para o consumo sustentável</w:t>
      </w:r>
      <w:r>
        <w:rPr>
          <w:rFonts w:eastAsia="Cambria"/>
          <w:bCs/>
        </w:rPr>
        <w:t>. Brasília: Consumers International/MMA/MEC/</w:t>
      </w:r>
      <w:r>
        <w:rPr>
          <w:rFonts w:eastAsia="Cambria"/>
          <w:bCs/>
          <w:lang w:val="en-US"/>
        </w:rPr>
        <w:br/>
        <w:t>IDEC, 2005.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COELHO, M. de L.</w:t>
      </w:r>
      <w:r>
        <w:rPr>
          <w:rFonts w:eastAsia="Cambria"/>
          <w:bCs/>
          <w:i/>
        </w:rPr>
        <w:t xml:space="preserve"> Consumo e espaços pedagógicos. </w:t>
      </w:r>
      <w:r>
        <w:rPr>
          <w:rFonts w:eastAsia="Cambria"/>
          <w:bCs/>
        </w:rPr>
        <w:t xml:space="preserve">São Paulo: Cortez, 2002. 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 xml:space="preserve">CUNHA, B. M. de. </w:t>
      </w:r>
      <w:r>
        <w:rPr>
          <w:rFonts w:eastAsia="Cambria"/>
          <w:bCs/>
          <w:i/>
        </w:rPr>
        <w:t>Consumo consciente</w:t>
      </w:r>
      <w:r>
        <w:rPr>
          <w:rFonts w:eastAsia="Cambria"/>
          <w:bCs/>
        </w:rPr>
        <w:t>. São Paulo:</w:t>
      </w:r>
      <w:r>
        <w:rPr>
          <w:rFonts w:eastAsia="Cambria"/>
          <w:bCs/>
          <w:i/>
        </w:rPr>
        <w:t xml:space="preserve"> </w:t>
      </w:r>
      <w:r>
        <w:rPr>
          <w:rFonts w:eastAsia="Cambria"/>
          <w:bCs/>
        </w:rPr>
        <w:t>Evoluir, 2012.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 xml:space="preserve">FAJARDO, E. </w:t>
      </w:r>
      <w:r>
        <w:rPr>
          <w:rFonts w:eastAsia="Cambria"/>
          <w:bCs/>
          <w:i/>
        </w:rPr>
        <w:t xml:space="preserve">Consumo consciente, comércio justo. </w:t>
      </w:r>
      <w:r>
        <w:rPr>
          <w:rFonts w:eastAsia="Cambria"/>
          <w:bCs/>
        </w:rPr>
        <w:t>São Paulo:</w:t>
      </w:r>
      <w:r>
        <w:rPr>
          <w:rFonts w:eastAsia="Cambria"/>
          <w:bCs/>
          <w:i/>
        </w:rPr>
        <w:t xml:space="preserve"> </w:t>
      </w:r>
      <w:r>
        <w:rPr>
          <w:rFonts w:eastAsia="Cambria"/>
          <w:bCs/>
        </w:rPr>
        <w:t>Senac, 2010.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  <w:lang w:val="en-US"/>
        </w:rPr>
        <w:t xml:space="preserve">GOVERNMENT OF MANITOBA. </w:t>
      </w:r>
      <w:r>
        <w:rPr>
          <w:rFonts w:eastAsia="Cambria"/>
          <w:bCs/>
          <w:i/>
          <w:lang w:val="en-US"/>
        </w:rPr>
        <w:t>Grade 12 Global Issues</w:t>
      </w:r>
      <w:r>
        <w:rPr>
          <w:rFonts w:eastAsia="Cambria"/>
          <w:bCs/>
          <w:lang w:val="en-US"/>
        </w:rPr>
        <w:t>: Citizenship and Sustainability:</w:t>
      </w:r>
      <w:r>
        <w:rPr>
          <w:rFonts w:eastAsia="Cambria"/>
          <w:bCs/>
          <w:i/>
          <w:lang w:val="en-US"/>
        </w:rPr>
        <w:t xml:space="preserve"> </w:t>
      </w:r>
      <w:r>
        <w:rPr>
          <w:rFonts w:eastAsia="Cambria"/>
          <w:bCs/>
          <w:lang w:val="en-US"/>
        </w:rPr>
        <w:t xml:space="preserve">Backgrounders for Area of Inquiry: Consumerism. </w:t>
      </w:r>
      <w:r>
        <w:rPr>
          <w:rFonts w:eastAsia="Cambria"/>
          <w:bCs/>
        </w:rPr>
        <w:t xml:space="preserve">Manitoba: Manitoba Education and Training, 2017. </w:t>
      </w:r>
    </w:p>
    <w:p w:rsidR="00774E74" w:rsidRDefault="009C6287">
      <w:pPr>
        <w:pStyle w:val="02TEXTOPRINCIPAL"/>
      </w:pPr>
      <w:r>
        <w:rPr>
          <w:rFonts w:eastAsia="Cambria"/>
          <w:bCs/>
        </w:rPr>
        <w:t xml:space="preserve">INSTITUTO AKATU. </w:t>
      </w:r>
      <w:r>
        <w:rPr>
          <w:rFonts w:eastAsia="Cambria"/>
          <w:bCs/>
          <w:i/>
        </w:rPr>
        <w:t>Conheça os 12 princípios do consumo consciente</w:t>
      </w:r>
      <w:r>
        <w:rPr>
          <w:rFonts w:eastAsia="Cambria"/>
          <w:bCs/>
        </w:rPr>
        <w:t>. Disponível em &lt;</w:t>
      </w:r>
      <w:hyperlink r:id="rId12">
        <w:r>
          <w:rPr>
            <w:rStyle w:val="LinkdaInternet"/>
            <w:rFonts w:eastAsia="Cambria"/>
            <w:bCs/>
          </w:rPr>
          <w:t>https://www.akatu.org.br/noticia/conheca-os-12-principios-do-consumo-consciente/</w:t>
        </w:r>
      </w:hyperlink>
      <w:r>
        <w:rPr>
          <w:rFonts w:eastAsia="Cambria"/>
          <w:bCs/>
        </w:rPr>
        <w:t>&gt;. Acesso em 4 de outubro de 2018.</w:t>
      </w:r>
    </w:p>
    <w:p w:rsidR="00774E74" w:rsidRDefault="009C6287">
      <w:pPr>
        <w:pStyle w:val="02TEXTOPRINCIPAL"/>
        <w:rPr>
          <w:rFonts w:eastAsia="Cambria"/>
          <w:bCs/>
          <w:lang w:val="en-US"/>
        </w:rPr>
      </w:pPr>
      <w:r>
        <w:rPr>
          <w:rFonts w:eastAsia="Cambria"/>
          <w:bCs/>
          <w:lang w:val="en-US"/>
        </w:rPr>
        <w:t>JOHNSON, C. A.</w:t>
      </w:r>
      <w:r>
        <w:rPr>
          <w:rFonts w:eastAsia="Cambria"/>
          <w:bCs/>
          <w:i/>
          <w:lang w:val="en-US"/>
        </w:rPr>
        <w:t xml:space="preserve">The Information Diet: </w:t>
      </w:r>
      <w:r>
        <w:rPr>
          <w:rFonts w:eastAsia="Cambria"/>
          <w:bCs/>
          <w:lang w:val="en-US"/>
        </w:rPr>
        <w:t>A Case for Conscious Comsumption</w:t>
      </w:r>
      <w:r>
        <w:rPr>
          <w:rFonts w:eastAsia="Cambria"/>
          <w:bCs/>
          <w:i/>
          <w:lang w:val="en-US"/>
        </w:rPr>
        <w:t xml:space="preserve">. </w:t>
      </w:r>
      <w:r>
        <w:rPr>
          <w:rFonts w:eastAsia="Cambria"/>
          <w:bCs/>
          <w:lang w:val="en-US"/>
        </w:rPr>
        <w:t xml:space="preserve">Sebastopol: O’Reilly Media, 2015. 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  <w:lang w:val="en-US"/>
        </w:rPr>
        <w:t>LEONARD, A.</w:t>
      </w:r>
      <w:r>
        <w:rPr>
          <w:rFonts w:eastAsia="Cambria"/>
          <w:bCs/>
          <w:i/>
          <w:lang w:val="en-US"/>
        </w:rPr>
        <w:t>The Story of Stuff:</w:t>
      </w:r>
      <w:r>
        <w:rPr>
          <w:rFonts w:eastAsia="Cambria"/>
          <w:bCs/>
          <w:lang w:val="en-US"/>
        </w:rPr>
        <w:t xml:space="preserve"> The Impact of Overconsumption on the Planet, Our Communities, and Our Health-And How We Can Make It Better. </w:t>
      </w:r>
      <w:r>
        <w:rPr>
          <w:rFonts w:eastAsia="Cambria"/>
          <w:bCs/>
        </w:rPr>
        <w:t xml:space="preserve">New York: Free Press, 2011. </w:t>
      </w:r>
    </w:p>
    <w:p w:rsidR="00774E74" w:rsidRDefault="009C6287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 xml:space="preserve">MARANHÃO, M. A. de O.; MORENO, V. D. C.; MARÇAL, L. C.; AGUIAR, M. F. R. P. C. de. </w:t>
      </w:r>
      <w:r>
        <w:rPr>
          <w:rFonts w:eastAsia="Cambria"/>
          <w:bCs/>
          <w:i/>
        </w:rPr>
        <w:t>Cartilha de consumo consciente do Crea-PR</w:t>
      </w:r>
      <w:r>
        <w:rPr>
          <w:rFonts w:eastAsia="Cambria"/>
          <w:bCs/>
        </w:rPr>
        <w:t>. Paraná: Conselho Regional de Engenharia e Agronomia do Paraná. s/d.</w:t>
      </w:r>
    </w:p>
    <w:p w:rsidR="00774E74" w:rsidRDefault="009C6287">
      <w:pPr>
        <w:pStyle w:val="02TEXTOPRINCIPAL"/>
      </w:pPr>
      <w:r>
        <w:rPr>
          <w:rFonts w:eastAsia="Cambria"/>
          <w:bCs/>
        </w:rPr>
        <w:t xml:space="preserve">MINISTÉRIO DO MEIO AMBIENTE. </w:t>
      </w:r>
      <w:r>
        <w:rPr>
          <w:rFonts w:eastAsia="Cambria"/>
          <w:bCs/>
          <w:i/>
        </w:rPr>
        <w:t>O que é consumo sustentável</w:t>
      </w:r>
      <w:r>
        <w:rPr>
          <w:rFonts w:eastAsia="Cambria"/>
          <w:bCs/>
        </w:rPr>
        <w:t>. Disponível em &lt;</w:t>
      </w:r>
      <w:hyperlink r:id="rId13">
        <w:r>
          <w:rPr>
            <w:rStyle w:val="LinkdaInternet"/>
            <w:rFonts w:eastAsia="Cambria"/>
            <w:bCs/>
          </w:rPr>
          <w:t>http://www.mma.gov.br/responsabilidade-socioambiental/producao-e-consumo-sustentavel/conceitos/consumo-sustentavel</w:t>
        </w:r>
      </w:hyperlink>
      <w:r>
        <w:rPr>
          <w:rFonts w:eastAsia="Cambria"/>
          <w:bCs/>
        </w:rPr>
        <w:t>&gt;. Acesso em 4 de outubro de 2018.</w:t>
      </w:r>
    </w:p>
    <w:p w:rsidR="00774E74" w:rsidRDefault="009C6287">
      <w:pPr>
        <w:pStyle w:val="02TEXTOPRINCIPAL"/>
      </w:pPr>
      <w:r>
        <w:rPr>
          <w:rFonts w:eastAsia="Cambria"/>
          <w:bCs/>
        </w:rPr>
        <w:t xml:space="preserve">UNITED STATES ENVIRONMENTAL PROTECTION AGENCY. </w:t>
      </w:r>
      <w:r>
        <w:rPr>
          <w:rFonts w:eastAsia="Cambria"/>
          <w:bCs/>
          <w:i/>
        </w:rPr>
        <w:t>Greener living</w:t>
      </w:r>
      <w:r>
        <w:rPr>
          <w:rFonts w:eastAsia="Cambria"/>
          <w:bCs/>
        </w:rPr>
        <w:t>. Disponível em &lt;</w:t>
      </w:r>
      <w:hyperlink r:id="rId14">
        <w:r>
          <w:rPr>
            <w:rStyle w:val="LinkdaInternet"/>
            <w:rFonts w:eastAsia="Cambria"/>
            <w:bCs/>
          </w:rPr>
          <w:t>https://www.epa.gov/environmental-topics/greener-living</w:t>
        </w:r>
      </w:hyperlink>
      <w:r>
        <w:rPr>
          <w:rFonts w:eastAsia="Cambria"/>
          <w:bCs/>
        </w:rPr>
        <w:t>&gt;.</w:t>
      </w:r>
      <w:r>
        <w:rPr>
          <w:rFonts w:eastAsia="Cambria"/>
          <w:b/>
          <w:bCs/>
        </w:rPr>
        <w:t xml:space="preserve"> </w:t>
      </w:r>
      <w:r>
        <w:rPr>
          <w:rFonts w:eastAsia="Cambria"/>
          <w:bCs/>
        </w:rPr>
        <w:t>Acesso em 4 de outubro de 2018.</w:t>
      </w:r>
    </w:p>
    <w:p w:rsidR="00774E74" w:rsidRDefault="009C6287">
      <w:pPr>
        <w:pStyle w:val="02TEXTOPRINCIPAL"/>
      </w:pPr>
      <w:r>
        <w:rPr>
          <w:rFonts w:eastAsia="Cambria"/>
          <w:bCs/>
        </w:rPr>
        <w:t xml:space="preserve">WHEELER, J. P.; THOMPSON, N. E.  </w:t>
      </w:r>
      <w:r>
        <w:rPr>
          <w:rFonts w:eastAsia="Cambria"/>
          <w:bCs/>
          <w:lang w:val="en-US"/>
        </w:rPr>
        <w:t xml:space="preserve">Consumerism in the Classroom: Effective Strategies for Today’s Teenage Consumers. In: </w:t>
      </w:r>
      <w:r>
        <w:rPr>
          <w:rFonts w:eastAsia="Cambria"/>
          <w:bCs/>
          <w:i/>
          <w:lang w:val="en-US"/>
        </w:rPr>
        <w:t>Journal of Family and Consumer Sciences Education</w:t>
      </w:r>
      <w:r>
        <w:rPr>
          <w:rFonts w:eastAsia="Cambria"/>
          <w:bCs/>
          <w:lang w:val="en-US"/>
        </w:rPr>
        <w:t>, v. 19, n. 2, Fall/Winter 2001.</w:t>
      </w:r>
    </w:p>
    <w:sectPr w:rsidR="00774E74">
      <w:headerReference w:type="default" r:id="rId15"/>
      <w:footerReference w:type="default" r:id="rId16"/>
      <w:pgSz w:w="11906" w:h="16838"/>
      <w:pgMar w:top="851" w:right="851" w:bottom="851" w:left="851" w:header="720" w:footer="67" w:gutter="0"/>
      <w:pgNumType w:start="47"/>
      <w:cols w:space="720"/>
      <w:formProt w:val="0"/>
      <w:docGrid w:linePitch="100" w:charSpace="120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1BE" w:rsidRDefault="000321BE">
      <w:r>
        <w:separator/>
      </w:r>
    </w:p>
  </w:endnote>
  <w:endnote w:type="continuationSeparator" w:id="0">
    <w:p w:rsidR="000321BE" w:rsidRDefault="0003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4E08BC-8599-45A4-B3BF-E64B00479AC0}"/>
    <w:embedBold r:id="rId2" w:fontKey="{51735CC0-E5BC-4C3D-AA65-28992C917170}"/>
    <w:embedItalic r:id="rId3" w:fontKey="{BB8623A0-E980-49F5-8940-56E97F071E7C}"/>
    <w:embedBoldItalic r:id="rId4" w:fontKey="{E8455557-F2D4-467B-B353-2FDA0A7F890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31977A-E30A-40C8-AB78-C433BF4EE2CB}"/>
    <w:embedBold r:id="rId6" w:fontKey="{B70C76EB-4341-4AC8-BB15-5321CBD42613}"/>
    <w:embedItalic r:id="rId7" w:fontKey="{9C1092EB-D71F-4AA4-B432-22CAA35074B8}"/>
    <w:embedBoldItalic r:id="rId8" w:fontKey="{137E1B1F-6053-4038-8081-669D4DF10E07}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E94661F-5EDB-4986-B026-7504BB8AA161}"/>
    <w:embedBold r:id="rId10" w:fontKey="{8B5B86BC-5E19-42FA-B767-FF09BFD8CD6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D6F6AB8F-7209-4F41-BA89-02B14C28373B}"/>
    <w:embedBold r:id="rId12" w:fontKey="{DF659928-C9FD-402F-92D4-2DF15AF448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202EE6AE-1B90-4085-B712-F31AB9A59B0C}"/>
    <w:embedBold r:id="rId14" w:fontKey="{17D5E667-A604-4B28-85F0-62168C741065}"/>
    <w:embedItalic r:id="rId15" w:fontKey="{05B1FCFD-10AB-481B-8BFC-360C882281D1}"/>
    <w:embedBoldItalic r:id="rId16" w:fontKey="{E23F445B-3F87-4F12-880B-5BB98BA283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706CD559-799D-473C-ADC2-96C385C8D651}"/>
    <w:embedBold r:id="rId18" w:fontKey="{DB5CCCD5-0A4A-430B-9829-894FDCD579A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CellMar>
        <w:left w:w="113" w:type="dxa"/>
      </w:tblCellMar>
      <w:tblLook w:val="04A0" w:firstRow="1" w:lastRow="0" w:firstColumn="1" w:lastColumn="0" w:noHBand="0" w:noVBand="1"/>
    </w:tblPr>
    <w:tblGrid>
      <w:gridCol w:w="9474"/>
      <w:gridCol w:w="730"/>
    </w:tblGrid>
    <w:tr w:rsidR="00774E74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74E74" w:rsidRDefault="009C628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BY- NC 3.0 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74E74" w:rsidRDefault="009C6287">
          <w:pPr>
            <w:pStyle w:val="Rodap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t>65</w:t>
          </w:r>
          <w:r>
            <w:fldChar w:fldCharType="end"/>
          </w:r>
        </w:p>
      </w:tc>
    </w:tr>
  </w:tbl>
  <w:p w:rsidR="00774E74" w:rsidRDefault="00774E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1BE" w:rsidRDefault="000321BE">
      <w:r>
        <w:separator/>
      </w:r>
    </w:p>
  </w:footnote>
  <w:footnote w:type="continuationSeparator" w:id="0">
    <w:p w:rsidR="000321BE" w:rsidRDefault="0003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E74" w:rsidRDefault="009C6287">
    <w:r>
      <w:rPr>
        <w:noProof/>
      </w:rPr>
      <w:drawing>
        <wp:inline distT="0" distB="1270" distL="0" distR="0">
          <wp:extent cx="6249035" cy="474980"/>
          <wp:effectExtent l="0" t="0" r="0" b="0"/>
          <wp:docPr id="1" name="Imagem 1" descr="testeira_peacemakers_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steira_peacemakers_v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035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F6B0A"/>
    <w:multiLevelType w:val="multilevel"/>
    <w:tmpl w:val="634012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0502514"/>
    <w:multiLevelType w:val="multilevel"/>
    <w:tmpl w:val="2FD42A0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E74"/>
    <w:rsid w:val="000321BE"/>
    <w:rsid w:val="0017247C"/>
    <w:rsid w:val="00575D91"/>
    <w:rsid w:val="00774E74"/>
    <w:rsid w:val="009C6287"/>
    <w:rsid w:val="00CD6947"/>
    <w:rsid w:val="00D6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CD3BF"/>
  <w15:docId w15:val="{09088E2C-3B88-4B91-B4D0-13DCD0BA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</w:style>
  <w:style w:type="paragraph" w:styleId="Ttulo1">
    <w:name w:val="heading 1"/>
    <w:qFormat/>
    <w:rsid w:val="00D418A3"/>
    <w:pPr>
      <w:widowControl w:val="0"/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qFormat/>
    <w:rsid w:val="00D418A3"/>
    <w:pPr>
      <w:widowControl w:val="0"/>
      <w:spacing w:before="20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qFormat/>
    <w:rsid w:val="00D418A3"/>
    <w:pPr>
      <w:widowControl w:val="0"/>
      <w:spacing w:before="140"/>
      <w:outlineLvl w:val="2"/>
    </w:pPr>
    <w:rPr>
      <w:b/>
      <w:bCs/>
    </w:rPr>
  </w:style>
  <w:style w:type="paragraph" w:styleId="Ttulo4">
    <w:name w:val="heading 4"/>
    <w:qFormat/>
    <w:rsid w:val="00D418A3"/>
    <w:pPr>
      <w:widowControl w:val="0"/>
      <w:spacing w:before="120"/>
      <w:outlineLvl w:val="3"/>
    </w:pPr>
    <w:rPr>
      <w:b/>
      <w:bCs/>
      <w:i/>
      <w:iCs/>
    </w:rPr>
  </w:style>
  <w:style w:type="paragraph" w:styleId="Ttulo5">
    <w:name w:val="heading 5"/>
    <w:qFormat/>
    <w:rsid w:val="00D418A3"/>
    <w:pPr>
      <w:widowControl w:val="0"/>
      <w:spacing w:before="120" w:after="60"/>
      <w:outlineLvl w:val="4"/>
    </w:pPr>
    <w:rPr>
      <w:b/>
      <w:bCs/>
    </w:rPr>
  </w:style>
  <w:style w:type="paragraph" w:styleId="Ttulo6">
    <w:name w:val="heading 6"/>
    <w:qFormat/>
    <w:rsid w:val="00D418A3"/>
    <w:pPr>
      <w:widowControl w:val="0"/>
      <w:spacing w:before="60" w:after="60"/>
      <w:outlineLvl w:val="5"/>
    </w:pPr>
    <w:rPr>
      <w:b/>
      <w:bCs/>
      <w:i/>
      <w:iCs/>
    </w:rPr>
  </w:style>
  <w:style w:type="paragraph" w:styleId="Ttulo7">
    <w:name w:val="heading 7"/>
    <w:qFormat/>
    <w:rsid w:val="00D418A3"/>
    <w:pPr>
      <w:widowControl w:val="0"/>
      <w:spacing w:before="60" w:after="60"/>
      <w:outlineLvl w:val="6"/>
    </w:pPr>
    <w:rPr>
      <w:b/>
      <w:bCs/>
    </w:rPr>
  </w:style>
  <w:style w:type="paragraph" w:styleId="Ttulo8">
    <w:name w:val="heading 8"/>
    <w:qFormat/>
    <w:rsid w:val="00D418A3"/>
    <w:pPr>
      <w:widowControl w:val="0"/>
      <w:spacing w:before="60" w:after="60"/>
      <w:outlineLvl w:val="7"/>
    </w:pPr>
    <w:rPr>
      <w:b/>
      <w:bCs/>
      <w:i/>
      <w:iCs/>
    </w:rPr>
  </w:style>
  <w:style w:type="paragraph" w:styleId="Ttulo9">
    <w:name w:val="heading 9"/>
    <w:qFormat/>
    <w:rsid w:val="00D418A3"/>
    <w:pPr>
      <w:widowControl w:val="0"/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126119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lrzxr">
    <w:name w:val="lrzxr"/>
    <w:basedOn w:val="Fontepargpadro"/>
    <w:qFormat/>
    <w:rsid w:val="00C853F9"/>
  </w:style>
  <w:style w:type="character" w:customStyle="1" w:styleId="ListLabel1">
    <w:name w:val="ListLabel 1"/>
    <w:qFormat/>
    <w:rsid w:val="00163D2C"/>
    <w:rPr>
      <w:rFonts w:cs="Courier New"/>
    </w:rPr>
  </w:style>
  <w:style w:type="character" w:customStyle="1" w:styleId="ListLabel2">
    <w:name w:val="ListLabel 2"/>
    <w:qFormat/>
    <w:rsid w:val="00163D2C"/>
    <w:rPr>
      <w:rFonts w:cs="Courier New"/>
    </w:rPr>
  </w:style>
  <w:style w:type="character" w:customStyle="1" w:styleId="ListLabel3">
    <w:name w:val="ListLabel 3"/>
    <w:qFormat/>
    <w:rsid w:val="00163D2C"/>
    <w:rPr>
      <w:rFonts w:cs="Courier New"/>
    </w:rPr>
  </w:style>
  <w:style w:type="character" w:customStyle="1" w:styleId="ListLabel4">
    <w:name w:val="ListLabel 4"/>
    <w:qFormat/>
    <w:rsid w:val="00163D2C"/>
    <w:rPr>
      <w:rFonts w:cs="Courier New"/>
    </w:rPr>
  </w:style>
  <w:style w:type="character" w:customStyle="1" w:styleId="ListLabel5">
    <w:name w:val="ListLabel 5"/>
    <w:qFormat/>
    <w:rsid w:val="00163D2C"/>
    <w:rPr>
      <w:rFonts w:cs="Courier New"/>
    </w:rPr>
  </w:style>
  <w:style w:type="character" w:customStyle="1" w:styleId="ListLabel6">
    <w:name w:val="ListLabel 6"/>
    <w:qFormat/>
    <w:rsid w:val="00163D2C"/>
    <w:rPr>
      <w:rFonts w:cs="Courier New"/>
    </w:rPr>
  </w:style>
  <w:style w:type="character" w:customStyle="1" w:styleId="ListLabel7">
    <w:name w:val="ListLabel 7"/>
    <w:qFormat/>
    <w:rsid w:val="00163D2C"/>
    <w:rPr>
      <w:rFonts w:cs="Courier New"/>
    </w:rPr>
  </w:style>
  <w:style w:type="character" w:customStyle="1" w:styleId="ListLabel8">
    <w:name w:val="ListLabel 8"/>
    <w:qFormat/>
    <w:rsid w:val="00163D2C"/>
    <w:rPr>
      <w:rFonts w:cs="Courier New"/>
    </w:rPr>
  </w:style>
  <w:style w:type="character" w:customStyle="1" w:styleId="ListLabel9">
    <w:name w:val="ListLabel 9"/>
    <w:qFormat/>
    <w:rsid w:val="00163D2C"/>
    <w:rPr>
      <w:rFonts w:cs="Courier New"/>
    </w:rPr>
  </w:style>
  <w:style w:type="character" w:customStyle="1" w:styleId="ListLabel10">
    <w:name w:val="ListLabel 10"/>
    <w:qFormat/>
    <w:rsid w:val="00163D2C"/>
    <w:rPr>
      <w:rFonts w:cs="Courier New"/>
    </w:rPr>
  </w:style>
  <w:style w:type="character" w:customStyle="1" w:styleId="ListLabel11">
    <w:name w:val="ListLabel 11"/>
    <w:qFormat/>
    <w:rsid w:val="00163D2C"/>
    <w:rPr>
      <w:rFonts w:cs="Courier New"/>
    </w:rPr>
  </w:style>
  <w:style w:type="character" w:customStyle="1" w:styleId="ListLabel12">
    <w:name w:val="ListLabel 12"/>
    <w:qFormat/>
    <w:rsid w:val="00163D2C"/>
    <w:rPr>
      <w:rFonts w:cs="Courier New"/>
    </w:rPr>
  </w:style>
  <w:style w:type="character" w:customStyle="1" w:styleId="ListLabel13">
    <w:name w:val="ListLabel 13"/>
    <w:qFormat/>
    <w:rsid w:val="00163D2C"/>
    <w:rPr>
      <w:rFonts w:cs="Courier New"/>
    </w:rPr>
  </w:style>
  <w:style w:type="character" w:customStyle="1" w:styleId="ListLabel14">
    <w:name w:val="ListLabel 14"/>
    <w:qFormat/>
    <w:rsid w:val="00163D2C"/>
    <w:rPr>
      <w:rFonts w:cs="Courier New"/>
    </w:rPr>
  </w:style>
  <w:style w:type="character" w:customStyle="1" w:styleId="ListLabel15">
    <w:name w:val="ListLabel 15"/>
    <w:qFormat/>
    <w:rsid w:val="00163D2C"/>
    <w:rPr>
      <w:rFonts w:cs="Courier New"/>
    </w:rPr>
  </w:style>
  <w:style w:type="character" w:customStyle="1" w:styleId="ListLabel16">
    <w:name w:val="ListLabel 16"/>
    <w:qFormat/>
    <w:rsid w:val="00163D2C"/>
    <w:rPr>
      <w:rFonts w:cs="Courier New"/>
    </w:rPr>
  </w:style>
  <w:style w:type="character" w:customStyle="1" w:styleId="ListLabel17">
    <w:name w:val="ListLabel 17"/>
    <w:qFormat/>
    <w:rsid w:val="00163D2C"/>
    <w:rPr>
      <w:rFonts w:cs="Courier New"/>
    </w:rPr>
  </w:style>
  <w:style w:type="character" w:customStyle="1" w:styleId="ListLabel18">
    <w:name w:val="ListLabel 18"/>
    <w:qFormat/>
    <w:rsid w:val="00163D2C"/>
    <w:rPr>
      <w:rFonts w:cs="Courier New"/>
    </w:rPr>
  </w:style>
  <w:style w:type="character" w:customStyle="1" w:styleId="ListLabel19">
    <w:name w:val="ListLabel 19"/>
    <w:qFormat/>
    <w:rsid w:val="00163D2C"/>
    <w:rPr>
      <w:rFonts w:cs="Courier New"/>
    </w:rPr>
  </w:style>
  <w:style w:type="character" w:customStyle="1" w:styleId="ListLabel20">
    <w:name w:val="ListLabel 20"/>
    <w:qFormat/>
    <w:rsid w:val="00163D2C"/>
    <w:rPr>
      <w:rFonts w:cs="Courier New"/>
    </w:rPr>
  </w:style>
  <w:style w:type="character" w:customStyle="1" w:styleId="ListLabel21">
    <w:name w:val="ListLabel 21"/>
    <w:qFormat/>
    <w:rsid w:val="00163D2C"/>
    <w:rPr>
      <w:rFonts w:cs="Courier New"/>
    </w:rPr>
  </w:style>
  <w:style w:type="character" w:customStyle="1" w:styleId="ListLabel22">
    <w:name w:val="ListLabel 22"/>
    <w:qFormat/>
    <w:rsid w:val="00163D2C"/>
    <w:rPr>
      <w:rFonts w:cs="Courier New"/>
    </w:rPr>
  </w:style>
  <w:style w:type="character" w:customStyle="1" w:styleId="ListLabel23">
    <w:name w:val="ListLabel 23"/>
    <w:qFormat/>
    <w:rsid w:val="00163D2C"/>
    <w:rPr>
      <w:rFonts w:cs="Courier New"/>
    </w:rPr>
  </w:style>
  <w:style w:type="character" w:customStyle="1" w:styleId="ListLabel24">
    <w:name w:val="ListLabel 24"/>
    <w:qFormat/>
    <w:rsid w:val="00163D2C"/>
    <w:rPr>
      <w:rFonts w:cs="Courier New"/>
    </w:rPr>
  </w:style>
  <w:style w:type="character" w:customStyle="1" w:styleId="ListLabel25">
    <w:name w:val="ListLabel 25"/>
    <w:qFormat/>
    <w:rsid w:val="00163D2C"/>
    <w:rPr>
      <w:rFonts w:cs="Courier New"/>
    </w:rPr>
  </w:style>
  <w:style w:type="character" w:customStyle="1" w:styleId="ListLabel26">
    <w:name w:val="ListLabel 26"/>
    <w:qFormat/>
    <w:rsid w:val="00163D2C"/>
    <w:rPr>
      <w:rFonts w:cs="Courier New"/>
    </w:rPr>
  </w:style>
  <w:style w:type="character" w:customStyle="1" w:styleId="ListLabel27">
    <w:name w:val="ListLabel 27"/>
    <w:qFormat/>
    <w:rsid w:val="00163D2C"/>
    <w:rPr>
      <w:rFonts w:cs="Courier New"/>
    </w:rPr>
  </w:style>
  <w:style w:type="character" w:customStyle="1" w:styleId="ListLabel28">
    <w:name w:val="ListLabel 28"/>
    <w:qFormat/>
    <w:rsid w:val="00163D2C"/>
    <w:rPr>
      <w:rFonts w:cs="Courier New"/>
    </w:rPr>
  </w:style>
  <w:style w:type="character" w:customStyle="1" w:styleId="ListLabel29">
    <w:name w:val="ListLabel 29"/>
    <w:qFormat/>
    <w:rsid w:val="00163D2C"/>
    <w:rPr>
      <w:rFonts w:cs="Courier New"/>
    </w:rPr>
  </w:style>
  <w:style w:type="character" w:customStyle="1" w:styleId="ListLabel30">
    <w:name w:val="ListLabel 30"/>
    <w:qFormat/>
    <w:rsid w:val="00163D2C"/>
    <w:rPr>
      <w:rFonts w:cs="Courier New"/>
    </w:rPr>
  </w:style>
  <w:style w:type="character" w:customStyle="1" w:styleId="ListLabel31">
    <w:name w:val="ListLabel 31"/>
    <w:qFormat/>
    <w:rsid w:val="00163D2C"/>
    <w:rPr>
      <w:rFonts w:cs="Courier New"/>
    </w:rPr>
  </w:style>
  <w:style w:type="character" w:customStyle="1" w:styleId="ListLabel32">
    <w:name w:val="ListLabel 32"/>
    <w:qFormat/>
    <w:rsid w:val="00163D2C"/>
    <w:rPr>
      <w:rFonts w:cs="Courier New"/>
    </w:rPr>
  </w:style>
  <w:style w:type="character" w:customStyle="1" w:styleId="ListLabel33">
    <w:name w:val="ListLabel 33"/>
    <w:qFormat/>
    <w:rsid w:val="00163D2C"/>
    <w:rPr>
      <w:rFonts w:cs="Courier New"/>
    </w:rPr>
  </w:style>
  <w:style w:type="character" w:customStyle="1" w:styleId="ListLabel34">
    <w:name w:val="ListLabel 34"/>
    <w:qFormat/>
    <w:rsid w:val="00163D2C"/>
    <w:rPr>
      <w:rFonts w:cs="Courier New"/>
    </w:rPr>
  </w:style>
  <w:style w:type="character" w:customStyle="1" w:styleId="ListLabel35">
    <w:name w:val="ListLabel 35"/>
    <w:qFormat/>
    <w:rsid w:val="00163D2C"/>
    <w:rPr>
      <w:rFonts w:cs="Courier New"/>
    </w:rPr>
  </w:style>
  <w:style w:type="character" w:customStyle="1" w:styleId="ListLabel36">
    <w:name w:val="ListLabel 36"/>
    <w:qFormat/>
    <w:rsid w:val="00163D2C"/>
    <w:rPr>
      <w:rFonts w:cs="Courier New"/>
    </w:rPr>
  </w:style>
  <w:style w:type="character" w:customStyle="1" w:styleId="ListLabel37">
    <w:name w:val="ListLabel 37"/>
    <w:qFormat/>
    <w:rsid w:val="00163D2C"/>
    <w:rPr>
      <w:rFonts w:cs="Courier New"/>
    </w:rPr>
  </w:style>
  <w:style w:type="character" w:customStyle="1" w:styleId="ListLabel38">
    <w:name w:val="ListLabel 38"/>
    <w:qFormat/>
    <w:rsid w:val="00163D2C"/>
    <w:rPr>
      <w:rFonts w:cs="Courier New"/>
    </w:rPr>
  </w:style>
  <w:style w:type="character" w:customStyle="1" w:styleId="ListLabel39">
    <w:name w:val="ListLabel 39"/>
    <w:qFormat/>
    <w:rsid w:val="00163D2C"/>
    <w:rPr>
      <w:rFonts w:cs="Courier New"/>
    </w:rPr>
  </w:style>
  <w:style w:type="character" w:customStyle="1" w:styleId="UnresolvedMention1">
    <w:name w:val="Unresolved Mention1"/>
    <w:basedOn w:val="Fontepargpadro"/>
    <w:uiPriority w:val="99"/>
    <w:semiHidden/>
    <w:unhideWhenUsed/>
    <w:qFormat/>
    <w:rsid w:val="00126119"/>
    <w:rPr>
      <w:color w:val="605E5C"/>
      <w:shd w:val="clear" w:color="auto" w:fill="E1DFDD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4C2D07"/>
    <w:rPr>
      <w:rFonts w:asciiTheme="minorHAnsi" w:eastAsiaTheme="minorEastAsia" w:hAnsiTheme="minorHAnsi" w:cstheme="minorBidi"/>
      <w:i/>
      <w:color w:val="FFFFFF" w:themeColor="background1"/>
      <w:kern w:val="0"/>
      <w:sz w:val="20"/>
      <w:szCs w:val="20"/>
      <w:shd w:val="clear" w:color="auto" w:fill="ED7D31"/>
      <w:lang w:val="en-US" w:eastAsia="en-US" w:bidi="ar-SA"/>
    </w:rPr>
  </w:style>
  <w:style w:type="character" w:customStyle="1" w:styleId="italicotexto">
    <w:name w:val="italico_texto"/>
    <w:basedOn w:val="Fontepargpadro"/>
    <w:uiPriority w:val="1"/>
    <w:qFormat/>
    <w:rsid w:val="0092441B"/>
    <w:rPr>
      <w:rFonts w:ascii="Arial" w:hAnsi="Arial" w:cs="Arial"/>
      <w:i/>
    </w:rPr>
  </w:style>
  <w:style w:type="character" w:customStyle="1" w:styleId="gmail-w8qarf">
    <w:name w:val="gmail-w8qarf"/>
    <w:basedOn w:val="Fontepargpadro"/>
    <w:qFormat/>
    <w:rsid w:val="00D61EE8"/>
  </w:style>
  <w:style w:type="character" w:styleId="HiperlinkVisitado">
    <w:name w:val="FollowedHyperlink"/>
    <w:basedOn w:val="Fontepargpadro"/>
    <w:uiPriority w:val="99"/>
    <w:semiHidden/>
    <w:unhideWhenUsed/>
    <w:qFormat/>
    <w:rsid w:val="0052605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6D1E09"/>
    <w:rPr>
      <w:color w:val="605E5C"/>
      <w:shd w:val="clear" w:color="auto" w:fill="E1DFDD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163D2C"/>
    <w:pPr>
      <w:spacing w:after="140" w:line="288" w:lineRule="auto"/>
    </w:pPr>
  </w:style>
  <w:style w:type="paragraph" w:styleId="Lista">
    <w:name w:val="List"/>
    <w:rsid w:val="00D418A3"/>
    <w:pPr>
      <w:widowControl w:val="0"/>
    </w:pPr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Ttulo10">
    <w:name w:val="Título1"/>
    <w:basedOn w:val="Normal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Standard">
    <w:name w:val="Standard"/>
    <w:qFormat/>
    <w:rsid w:val="00D418A3"/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qFormat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qFormat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</w:rPr>
  </w:style>
  <w:style w:type="paragraph" w:styleId="Reviso">
    <w:name w:val="Revision"/>
    <w:uiPriority w:val="99"/>
    <w:semiHidden/>
    <w:qFormat/>
    <w:rsid w:val="000B7703"/>
    <w:rPr>
      <w:rFonts w:cs="Mangal"/>
      <w:szCs w:val="1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C2D07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 w:themeFill="accent2"/>
      <w:spacing w:before="140" w:after="140" w:line="276" w:lineRule="auto"/>
      <w:ind w:left="1440" w:right="1440"/>
      <w:jc w:val="both"/>
      <w:textAlignment w:val="auto"/>
    </w:pPr>
    <w:rPr>
      <w:rFonts w:asciiTheme="minorHAnsi" w:eastAsiaTheme="minorEastAsia" w:hAnsiTheme="minorHAnsi" w:cstheme="minorBidi"/>
      <w:b/>
      <w:i/>
      <w:color w:val="FFFFFF" w:themeColor="background1"/>
      <w:kern w:val="0"/>
      <w:sz w:val="20"/>
      <w:szCs w:val="20"/>
      <w:lang w:val="en-US" w:eastAsia="en-US" w:bidi="ar-SA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nacionalcomum.mec.gov.br/" TargetMode="External"/><Relationship Id="rId13" Type="http://schemas.openxmlformats.org/officeDocument/2006/relationships/hyperlink" Target="http://www.mma.gov.br/responsabilidade-socioambiental/producao-e-consumo-sustentavel/conceitos/consumo-sustentave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katu.org.br/noticia/conheca-os-12-principios-do-consumo-conscient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dfs.semanticscholar.org/6868/216ea0a8efe013a788282d8671a4ccdbec5e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cielo.br/pdf/%0D/cp/v36n128/v36n128a0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eprints.open.ac.uk/10062/1/download.pdf" TargetMode="External"/><Relationship Id="rId14" Type="http://schemas.openxmlformats.org/officeDocument/2006/relationships/hyperlink" Target="https://www.epa.gov/environmental-topics/greener-liv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72B770-AE8C-4C64-83A0-9E0406EE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19</Pages>
  <Words>9528</Words>
  <Characters>51456</Characters>
  <Application>Microsoft Office Word</Application>
  <DocSecurity>0</DocSecurity>
  <Lines>428</Lines>
  <Paragraphs>121</Paragraphs>
  <ScaleCrop>false</ScaleCrop>
  <Company/>
  <LinksUpToDate>false</LinksUpToDate>
  <CharactersWithSpaces>60863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61</cp:revision>
  <dcterms:created xsi:type="dcterms:W3CDTF">2018-10-17T18:51:00Z</dcterms:created>
  <dcterms:modified xsi:type="dcterms:W3CDTF">2018-11-13T15:02:00Z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